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val="0"/>
        <w:overflowPunct/>
        <w:topLinePunct w:val="0"/>
        <w:autoSpaceDE w:val="0"/>
        <w:autoSpaceDN w:val="0"/>
        <w:bidi w:val="0"/>
        <w:adjustRightInd w:val="0"/>
        <w:snapToGrid w:val="0"/>
        <w:spacing w:before="101" w:line="228" w:lineRule="auto"/>
        <w:textAlignment w:val="baseline"/>
      </w:pPr>
      <w:r>
        <w:rPr>
          <w:b/>
          <w:bCs/>
          <w:spacing w:val="-16"/>
        </w:rPr>
        <w:t>附</w:t>
      </w:r>
      <w:r>
        <w:rPr>
          <w:spacing w:val="16"/>
        </w:rPr>
        <w:t xml:space="preserve">  </w:t>
      </w:r>
      <w:r>
        <w:rPr>
          <w:b/>
          <w:bCs/>
          <w:spacing w:val="-16"/>
        </w:rPr>
        <w:t>件：</w:t>
      </w:r>
    </w:p>
    <w:p>
      <w:pPr>
        <w:keepNext w:val="0"/>
        <w:keepLines w:val="0"/>
        <w:pageBreakBefore w:val="0"/>
        <w:widowControl w:val="0"/>
        <w:kinsoku w:val="0"/>
        <w:overflowPunct/>
        <w:topLinePunct w:val="0"/>
        <w:autoSpaceDE w:val="0"/>
        <w:autoSpaceDN w:val="0"/>
        <w:bidi w:val="0"/>
        <w:adjustRightInd w:val="0"/>
        <w:snapToGrid w:val="0"/>
        <w:spacing w:before="253" w:line="225" w:lineRule="auto"/>
        <w:jc w:val="center"/>
        <w:textAlignment w:val="baseline"/>
        <w:rPr>
          <w:rFonts w:ascii="黑体" w:hAnsi="黑体" w:eastAsia="黑体" w:cs="黑体"/>
          <w:sz w:val="43"/>
          <w:szCs w:val="43"/>
        </w:rPr>
      </w:pPr>
      <w:r>
        <w:rPr>
          <w:rFonts w:ascii="黑体" w:hAnsi="黑体" w:eastAsia="黑体" w:cs="黑体"/>
          <w:spacing w:val="6"/>
          <w:sz w:val="43"/>
          <w:szCs w:val="43"/>
        </w:rPr>
        <w:t>2023</w:t>
      </w:r>
      <w:r>
        <w:rPr>
          <w:rFonts w:ascii="黑体" w:hAnsi="黑体" w:eastAsia="黑体" w:cs="黑体"/>
          <w:spacing w:val="-71"/>
          <w:sz w:val="43"/>
          <w:szCs w:val="43"/>
        </w:rPr>
        <w:t xml:space="preserve"> </w:t>
      </w:r>
      <w:r>
        <w:rPr>
          <w:rFonts w:ascii="黑体" w:hAnsi="黑体" w:eastAsia="黑体" w:cs="黑体"/>
          <w:spacing w:val="6"/>
          <w:sz w:val="43"/>
          <w:szCs w:val="43"/>
        </w:rPr>
        <w:t>年</w:t>
      </w:r>
      <w:r>
        <w:rPr>
          <w:rFonts w:hint="eastAsia" w:ascii="黑体" w:hAnsi="黑体" w:eastAsia="黑体" w:cs="黑体"/>
          <w:spacing w:val="6"/>
          <w:sz w:val="43"/>
          <w:szCs w:val="43"/>
          <w:lang w:val="en-US" w:eastAsia="zh-CN"/>
        </w:rPr>
        <w:t>四</w:t>
      </w:r>
      <w:r>
        <w:rPr>
          <w:rFonts w:ascii="黑体" w:hAnsi="黑体" w:eastAsia="黑体" w:cs="黑体"/>
          <w:spacing w:val="6"/>
          <w:sz w:val="43"/>
          <w:szCs w:val="43"/>
        </w:rPr>
        <w:t>季</w:t>
      </w:r>
      <w:bookmarkStart w:id="0" w:name="_GoBack"/>
      <w:bookmarkEnd w:id="0"/>
      <w:r>
        <w:rPr>
          <w:rFonts w:ascii="黑体" w:hAnsi="黑体" w:eastAsia="黑体" w:cs="黑体"/>
          <w:spacing w:val="6"/>
          <w:sz w:val="43"/>
          <w:szCs w:val="43"/>
        </w:rPr>
        <w:t>度医德医风学习内容</w:t>
      </w:r>
    </w:p>
    <w:p>
      <w:pPr>
        <w:keepNext w:val="0"/>
        <w:keepLines w:val="0"/>
        <w:pageBreakBefore w:val="0"/>
        <w:widowControl w:val="0"/>
        <w:kinsoku w:val="0"/>
        <w:overflowPunct/>
        <w:topLinePunct w:val="0"/>
        <w:autoSpaceDE w:val="0"/>
        <w:autoSpaceDN w:val="0"/>
        <w:bidi w:val="0"/>
        <w:adjustRightInd w:val="0"/>
        <w:snapToGrid w:val="0"/>
        <w:spacing w:line="282"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82" w:lineRule="auto"/>
        <w:textAlignment w:val="baseline"/>
        <w:rPr>
          <w:rFonts w:ascii="Arial"/>
          <w:sz w:val="21"/>
        </w:rPr>
      </w:pPr>
    </w:p>
    <w:p>
      <w:pPr>
        <w:pStyle w:val="2"/>
        <w:keepNext w:val="0"/>
        <w:keepLines w:val="0"/>
        <w:pageBreakBefore w:val="0"/>
        <w:widowControl w:val="0"/>
        <w:kinsoku w:val="0"/>
        <w:overflowPunct/>
        <w:topLinePunct w:val="0"/>
        <w:autoSpaceDE w:val="0"/>
        <w:autoSpaceDN w:val="0"/>
        <w:bidi w:val="0"/>
        <w:adjustRightInd w:val="0"/>
        <w:snapToGrid w:val="0"/>
        <w:spacing w:before="140" w:line="227" w:lineRule="auto"/>
        <w:ind w:left="3612"/>
        <w:textAlignment w:val="baseline"/>
        <w:outlineLvl w:val="0"/>
        <w:rPr>
          <w:sz w:val="43"/>
          <w:szCs w:val="43"/>
        </w:rPr>
      </w:pPr>
      <w:r>
        <w:rPr>
          <w:spacing w:val="-49"/>
          <w:sz w:val="43"/>
          <w:szCs w:val="43"/>
        </w:rPr>
        <w:t>目</w:t>
      </w:r>
      <w:r>
        <w:rPr>
          <w:spacing w:val="28"/>
          <w:sz w:val="43"/>
          <w:szCs w:val="43"/>
        </w:rPr>
        <w:t xml:space="preserve">  </w:t>
      </w:r>
      <w:r>
        <w:rPr>
          <w:spacing w:val="-49"/>
          <w:sz w:val="43"/>
          <w:szCs w:val="43"/>
        </w:rPr>
        <w:t>录</w:t>
      </w:r>
    </w:p>
    <w:p>
      <w:pPr>
        <w:keepNext w:val="0"/>
        <w:keepLines w:val="0"/>
        <w:pageBreakBefore w:val="0"/>
        <w:widowControl w:val="0"/>
        <w:kinsoku w:val="0"/>
        <w:overflowPunct/>
        <w:topLinePunct w:val="0"/>
        <w:autoSpaceDE w:val="0"/>
        <w:autoSpaceDN w:val="0"/>
        <w:bidi w:val="0"/>
        <w:adjustRightInd w:val="0"/>
        <w:snapToGrid w:val="0"/>
        <w:spacing w:line="29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9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94" w:lineRule="auto"/>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656" w:hangingChars="200"/>
        <w:textAlignment w:val="baseline"/>
        <w:rPr>
          <w:rFonts w:ascii="楷体" w:hAnsi="楷体" w:eastAsia="楷体" w:cs="楷体"/>
          <w:sz w:val="31"/>
          <w:szCs w:val="31"/>
        </w:rPr>
      </w:pPr>
      <w:r>
        <w:rPr>
          <w:rFonts w:ascii="楷体" w:hAnsi="楷体" w:eastAsia="楷体" w:cs="楷体"/>
          <w:spacing w:val="9"/>
          <w:sz w:val="31"/>
          <w:szCs w:val="31"/>
        </w:rPr>
        <w:t>一、习近平总书记关于卫生和健康工作的重要论述</w:t>
      </w:r>
      <w:r>
        <w:rPr>
          <w:rFonts w:ascii="楷体" w:hAnsi="楷体" w:eastAsia="楷体" w:cs="楷体"/>
          <w:spacing w:val="8"/>
          <w:sz w:val="31"/>
          <w:szCs w:val="31"/>
        </w:rPr>
        <w:t>（摘选）</w:t>
      </w: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396" w:hangingChars="200"/>
        <w:textAlignment w:val="baseline"/>
        <w:rPr>
          <w:rFonts w:hint="eastAsia" w:ascii="楷体" w:hAnsi="楷体" w:eastAsia="楷体" w:cs="楷体"/>
          <w:spacing w:val="9"/>
          <w:sz w:val="18"/>
          <w:szCs w:val="18"/>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656" w:hangingChars="200"/>
        <w:textAlignment w:val="baseline"/>
        <w:rPr>
          <w:rFonts w:hint="eastAsia" w:ascii="楷体" w:hAnsi="楷体" w:eastAsia="楷体" w:cs="楷体"/>
          <w:spacing w:val="9"/>
          <w:sz w:val="31"/>
          <w:szCs w:val="31"/>
        </w:rPr>
      </w:pPr>
      <w:r>
        <w:rPr>
          <w:rFonts w:hint="eastAsia" w:ascii="楷体" w:hAnsi="楷体" w:eastAsia="楷体" w:cs="楷体"/>
          <w:spacing w:val="9"/>
          <w:sz w:val="31"/>
          <w:szCs w:val="31"/>
          <w:lang w:val="en-US" w:eastAsia="zh-CN"/>
        </w:rPr>
        <w:t>二、</w:t>
      </w:r>
      <w:r>
        <w:rPr>
          <w:rFonts w:hint="eastAsia" w:ascii="楷体" w:hAnsi="楷体" w:eastAsia="楷体" w:cs="楷体"/>
          <w:spacing w:val="9"/>
          <w:sz w:val="31"/>
          <w:szCs w:val="31"/>
        </w:rPr>
        <w:t>国家卫生健康委办公厅关于印发患者安全专项行动方案（2023-2025年）的通知</w:t>
      </w: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396" w:hangingChars="200"/>
        <w:textAlignment w:val="baseline"/>
        <w:rPr>
          <w:rFonts w:hint="eastAsia" w:ascii="楷体" w:hAnsi="楷体" w:eastAsia="楷体" w:cs="楷体"/>
          <w:spacing w:val="9"/>
          <w:sz w:val="18"/>
          <w:szCs w:val="18"/>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656" w:hangingChars="200"/>
        <w:textAlignment w:val="baseline"/>
        <w:rPr>
          <w:rFonts w:hint="eastAsia" w:ascii="楷体" w:hAnsi="楷体" w:eastAsia="楷体" w:cs="楷体"/>
          <w:spacing w:val="9"/>
          <w:sz w:val="31"/>
          <w:szCs w:val="31"/>
        </w:rPr>
      </w:pPr>
      <w:r>
        <w:rPr>
          <w:rFonts w:hint="eastAsia" w:ascii="楷体" w:hAnsi="楷体" w:eastAsia="楷体" w:cs="楷体"/>
          <w:spacing w:val="9"/>
          <w:sz w:val="31"/>
          <w:szCs w:val="31"/>
          <w:lang w:val="en-US" w:eastAsia="zh-CN"/>
        </w:rPr>
        <w:t>三、</w:t>
      </w:r>
      <w:r>
        <w:rPr>
          <w:rFonts w:hint="eastAsia" w:ascii="楷体" w:hAnsi="楷体" w:eastAsia="楷体" w:cs="楷体"/>
          <w:spacing w:val="9"/>
          <w:sz w:val="31"/>
          <w:szCs w:val="31"/>
        </w:rPr>
        <w:t>2023年江西省人民医院纠正医药购销领域和医疗服务中不正之风工作要点</w:t>
      </w: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396" w:hangingChars="200"/>
        <w:textAlignment w:val="baseline"/>
        <w:rPr>
          <w:rFonts w:hint="eastAsia" w:ascii="楷体" w:hAnsi="楷体" w:eastAsia="楷体" w:cs="楷体"/>
          <w:spacing w:val="9"/>
          <w:sz w:val="18"/>
          <w:szCs w:val="18"/>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101" w:line="228" w:lineRule="auto"/>
        <w:ind w:left="656" w:hanging="656" w:hangingChars="200"/>
        <w:textAlignment w:val="baseline"/>
        <w:rPr>
          <w:rFonts w:hint="eastAsia" w:ascii="楷体" w:hAnsi="楷体" w:eastAsia="楷体" w:cs="楷体"/>
          <w:spacing w:val="9"/>
          <w:sz w:val="31"/>
          <w:szCs w:val="31"/>
          <w:lang w:val="en-US" w:eastAsia="zh-CN"/>
        </w:rPr>
      </w:pPr>
      <w:r>
        <w:rPr>
          <w:rFonts w:hint="eastAsia" w:ascii="楷体" w:hAnsi="楷体" w:eastAsia="楷体" w:cs="楷体"/>
          <w:spacing w:val="9"/>
          <w:sz w:val="31"/>
          <w:szCs w:val="31"/>
          <w:lang w:val="en-US" w:eastAsia="zh-CN"/>
        </w:rPr>
        <w:t>四、江西省人民医院医德医风考评细则（2023版）</w:t>
      </w:r>
    </w:p>
    <w:p>
      <w:pPr>
        <w:keepNext w:val="0"/>
        <w:keepLines w:val="0"/>
        <w:pageBreakBefore w:val="0"/>
        <w:widowControl w:val="0"/>
        <w:kinsoku w:val="0"/>
        <w:overflowPunct/>
        <w:topLinePunct w:val="0"/>
        <w:autoSpaceDE w:val="0"/>
        <w:autoSpaceDN w:val="0"/>
        <w:bidi w:val="0"/>
        <w:adjustRightInd w:val="0"/>
        <w:snapToGrid w:val="0"/>
        <w:spacing w:before="101" w:line="229" w:lineRule="auto"/>
        <w:ind w:left="31"/>
        <w:textAlignment w:val="baseline"/>
        <w:rPr>
          <w:rFonts w:hint="eastAsia" w:ascii="楷体" w:hAnsi="楷体" w:eastAsia="楷体" w:cs="楷体"/>
          <w:spacing w:val="9"/>
          <w:sz w:val="31"/>
          <w:szCs w:val="31"/>
        </w:rPr>
        <w:sectPr>
          <w:headerReference r:id="rId5" w:type="default"/>
          <w:footerReference r:id="rId6" w:type="default"/>
          <w:pgSz w:w="11906" w:h="16839"/>
          <w:pgMar w:top="400" w:right="1785" w:bottom="1157" w:left="1785" w:header="0" w:footer="991" w:gutter="0"/>
          <w:cols w:space="720" w:num="1"/>
        </w:sect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before="113" w:line="227" w:lineRule="auto"/>
        <w:textAlignment w:val="baseline"/>
        <w:outlineLvl w:val="0"/>
        <w:rPr>
          <w:rFonts w:ascii="黑体" w:hAnsi="黑体" w:eastAsia="黑体" w:cs="黑体"/>
          <w:sz w:val="36"/>
          <w:szCs w:val="36"/>
        </w:rPr>
      </w:pPr>
      <w:r>
        <w:rPr>
          <w:rFonts w:ascii="黑体" w:hAnsi="黑体" w:eastAsia="黑体" w:cs="黑体"/>
          <w:spacing w:val="5"/>
          <w:sz w:val="36"/>
          <w:szCs w:val="36"/>
        </w:rPr>
        <w:t>一、习近平总书记关于卫生和健康工作的重要论述</w:t>
      </w:r>
    </w:p>
    <w:p>
      <w:pPr>
        <w:keepNext w:val="0"/>
        <w:keepLines w:val="0"/>
        <w:pageBreakBefore w:val="0"/>
        <w:widowControl w:val="0"/>
        <w:kinsoku w:val="0"/>
        <w:overflowPunct/>
        <w:topLinePunct w:val="0"/>
        <w:autoSpaceDE w:val="0"/>
        <w:autoSpaceDN w:val="0"/>
        <w:bidi w:val="0"/>
        <w:adjustRightInd w:val="0"/>
        <w:snapToGrid w:val="0"/>
        <w:spacing w:line="301"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302" w:lineRule="auto"/>
        <w:textAlignment w:val="baseline"/>
        <w:rPr>
          <w:rFonts w:ascii="Arial"/>
          <w:sz w:val="21"/>
        </w:rPr>
      </w:pPr>
    </w:p>
    <w:p>
      <w:pPr>
        <w:pStyle w:val="2"/>
        <w:keepNext w:val="0"/>
        <w:keepLines w:val="0"/>
        <w:pageBreakBefore w:val="0"/>
        <w:widowControl w:val="0"/>
        <w:kinsoku w:val="0"/>
        <w:overflowPunct/>
        <w:topLinePunct w:val="0"/>
        <w:autoSpaceDE w:val="0"/>
        <w:autoSpaceDN w:val="0"/>
        <w:bidi w:val="0"/>
        <w:adjustRightInd w:val="0"/>
        <w:snapToGrid w:val="0"/>
        <w:spacing w:before="101" w:line="226" w:lineRule="auto"/>
        <w:ind w:left="1257"/>
        <w:textAlignment w:val="baseline"/>
      </w:pPr>
      <w:r>
        <w:t>详细内容请登录以下网址进行系统学习：</w:t>
      </w:r>
    </w:p>
    <w:p>
      <w:pPr>
        <w:pStyle w:val="2"/>
        <w:keepNext w:val="0"/>
        <w:keepLines w:val="0"/>
        <w:pageBreakBefore w:val="0"/>
        <w:widowControl w:val="0"/>
        <w:kinsoku w:val="0"/>
        <w:overflowPunct/>
        <w:topLinePunct w:val="0"/>
        <w:autoSpaceDE w:val="0"/>
        <w:autoSpaceDN w:val="0"/>
        <w:bidi w:val="0"/>
        <w:adjustRightInd w:val="0"/>
        <w:snapToGrid w:val="0"/>
        <w:spacing w:before="219" w:line="216" w:lineRule="auto"/>
        <w:ind w:left="617"/>
        <w:textAlignment w:val="baseline"/>
        <w:rPr>
          <w:sz w:val="28"/>
          <w:szCs w:val="28"/>
        </w:rPr>
      </w:pPr>
      <w:r>
        <w:fldChar w:fldCharType="begin"/>
      </w:r>
      <w:r>
        <w:instrText xml:space="preserve"> HYPERLINK "https://www.xuexi.cn/xxqg.html?id=1fufi2tlbn51fufi2tlbn51fufi2tlbn" </w:instrText>
      </w:r>
      <w:r>
        <w:fldChar w:fldCharType="separate"/>
      </w:r>
      <w:r>
        <w:rPr>
          <w:spacing w:val="-11"/>
          <w:sz w:val="28"/>
          <w:szCs w:val="28"/>
          <w:u w:val="single" w:color="auto"/>
        </w:rPr>
        <w:t>https://www.xuexi.cn/xxqg.html?id=1fufi2tlbn51fufi2tlbn51fufi2tlb</w:t>
      </w:r>
      <w:r>
        <w:rPr>
          <w:spacing w:val="-11"/>
          <w:sz w:val="28"/>
          <w:szCs w:val="28"/>
        </w:rPr>
        <w:t>n</w:t>
      </w:r>
      <w:r>
        <w:rPr>
          <w:spacing w:val="-11"/>
          <w:sz w:val="28"/>
          <w:szCs w:val="28"/>
        </w:rPr>
        <w:fldChar w:fldCharType="end"/>
      </w:r>
    </w:p>
    <w:p>
      <w:pPr>
        <w:keepNext w:val="0"/>
        <w:keepLines w:val="0"/>
        <w:pageBreakBefore w:val="0"/>
        <w:widowControl w:val="0"/>
        <w:kinsoku w:val="0"/>
        <w:overflowPunct/>
        <w:topLinePunct w:val="0"/>
        <w:autoSpaceDE w:val="0"/>
        <w:autoSpaceDN w:val="0"/>
        <w:bidi w:val="0"/>
        <w:adjustRightInd w:val="0"/>
        <w:snapToGrid w:val="0"/>
        <w:spacing w:line="216" w:lineRule="auto"/>
        <w:textAlignment w:val="baseline"/>
        <w:rPr>
          <w:sz w:val="28"/>
          <w:szCs w:val="28"/>
        </w:rPr>
        <w:sectPr>
          <w:footerReference r:id="rId7" w:type="default"/>
          <w:pgSz w:w="11906" w:h="16839"/>
          <w:pgMar w:top="400" w:right="1785" w:bottom="1641" w:left="919" w:header="0" w:footer="1476" w:gutter="0"/>
          <w:cols w:space="720" w:num="1"/>
        </w:sect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r>
        <w:pict>
          <v:shape id="_x0000_s1026" o:spid="_x0000_s1026" style="position:absolute;left:0pt;margin-left:76.55pt;margin-top:211.05pt;height:0.75pt;width:442.25pt;mso-position-horizontal-relative:page;mso-position-vertical-relative:page;z-index:251659264;mso-width-relative:page;mso-height-relative:page;" fillcolor="#EDEDED" filled="t" stroked="f" coordsize="8845,15" o:allowincell="f" path="m0,0l8845,0,8845,14,0,14,0,0xe">
            <v:path/>
            <v:fill on="t" focussize="0,0"/>
            <v:stroke on="f"/>
            <v:imagedata o:title=""/>
            <o:lock v:ext="edit"/>
          </v:shape>
        </w:pict>
      </w: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253"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before="113" w:line="227" w:lineRule="auto"/>
        <w:textAlignment w:val="baseline"/>
        <w:outlineLvl w:val="0"/>
        <w:rPr>
          <w:rFonts w:ascii="楷体" w:hAnsi="楷体" w:eastAsia="楷体" w:cs="楷体"/>
          <w:color w:val="333333"/>
          <w:spacing w:val="1"/>
          <w:sz w:val="31"/>
          <w:szCs w:val="31"/>
        </w:rPr>
      </w:pPr>
      <w:r>
        <w:rPr>
          <w:rFonts w:hint="eastAsia" w:ascii="黑体" w:hAnsi="黑体" w:eastAsia="黑体" w:cs="黑体"/>
          <w:spacing w:val="5"/>
          <w:sz w:val="36"/>
          <w:szCs w:val="36"/>
          <w:lang w:val="en-US" w:eastAsia="zh-CN"/>
        </w:rPr>
        <w:t>二、</w:t>
      </w:r>
      <w:r>
        <w:rPr>
          <w:rFonts w:hint="eastAsia" w:ascii="黑体" w:hAnsi="黑体" w:eastAsia="黑体" w:cs="黑体"/>
          <w:spacing w:val="5"/>
          <w:sz w:val="36"/>
          <w:szCs w:val="36"/>
        </w:rPr>
        <w:t>国家卫生健康委办公厅关于印发患者安全专项行动方案（2023-2025年）的通知</w:t>
      </w:r>
      <w:r>
        <w:rPr>
          <w:rFonts w:hint="eastAsia" w:ascii="宋体" w:hAnsi="宋体" w:eastAsia="宋体" w:cs="宋体"/>
          <w:i w:val="0"/>
          <w:iCs w:val="0"/>
          <w:caps w:val="0"/>
          <w:color w:val="333333"/>
          <w:spacing w:val="0"/>
          <w:sz w:val="24"/>
          <w:szCs w:val="24"/>
          <w:shd w:val="clear" w:fill="FFFFFF"/>
        </w:rPr>
        <w:br w:type="textWrapping"/>
      </w:r>
    </w:p>
    <w:p>
      <w:pPr>
        <w:keepNext w:val="0"/>
        <w:keepLines w:val="0"/>
        <w:pageBreakBefore w:val="0"/>
        <w:widowControl w:val="0"/>
        <w:kinsoku w:val="0"/>
        <w:overflowPunct/>
        <w:topLinePunct w:val="0"/>
        <w:autoSpaceDE w:val="0"/>
        <w:autoSpaceDN w:val="0"/>
        <w:bidi w:val="0"/>
        <w:adjustRightInd w:val="0"/>
        <w:snapToGrid w:val="0"/>
        <w:spacing w:before="100" w:line="230" w:lineRule="auto"/>
        <w:jc w:val="center"/>
        <w:textAlignment w:val="baseline"/>
        <w:rPr>
          <w:rFonts w:ascii="楷体" w:hAnsi="楷体" w:eastAsia="楷体" w:cs="楷体"/>
          <w:sz w:val="31"/>
          <w:szCs w:val="31"/>
        </w:rPr>
      </w:pPr>
      <w:r>
        <w:rPr>
          <w:rFonts w:ascii="楷体" w:hAnsi="楷体" w:eastAsia="楷体" w:cs="楷体"/>
          <w:color w:val="333333"/>
          <w:spacing w:val="1"/>
          <w:sz w:val="31"/>
          <w:szCs w:val="31"/>
        </w:rPr>
        <w:t>发布日期： 2023-0</w:t>
      </w:r>
      <w:r>
        <w:rPr>
          <w:rFonts w:hint="eastAsia" w:ascii="楷体" w:hAnsi="楷体" w:eastAsia="楷体" w:cs="楷体"/>
          <w:color w:val="333333"/>
          <w:spacing w:val="1"/>
          <w:sz w:val="31"/>
          <w:szCs w:val="31"/>
          <w:lang w:val="en-US" w:eastAsia="zh-CN"/>
        </w:rPr>
        <w:t>9</w:t>
      </w:r>
      <w:r>
        <w:rPr>
          <w:rFonts w:ascii="楷体" w:hAnsi="楷体" w:eastAsia="楷体" w:cs="楷体"/>
          <w:color w:val="333333"/>
          <w:spacing w:val="1"/>
          <w:sz w:val="31"/>
          <w:szCs w:val="31"/>
        </w:rPr>
        <w:t>-2</w:t>
      </w:r>
      <w:r>
        <w:rPr>
          <w:rFonts w:hint="eastAsia" w:ascii="楷体" w:hAnsi="楷体" w:eastAsia="楷体" w:cs="楷体"/>
          <w:color w:val="333333"/>
          <w:spacing w:val="1"/>
          <w:sz w:val="31"/>
          <w:szCs w:val="31"/>
          <w:lang w:val="en-US" w:eastAsia="zh-CN"/>
        </w:rPr>
        <w:t>7</w:t>
      </w:r>
      <w:r>
        <w:rPr>
          <w:rFonts w:ascii="楷体" w:hAnsi="楷体" w:eastAsia="楷体" w:cs="楷体"/>
          <w:color w:val="333333"/>
          <w:spacing w:val="52"/>
          <w:sz w:val="31"/>
          <w:szCs w:val="31"/>
        </w:rPr>
        <w:t xml:space="preserve">  </w:t>
      </w:r>
      <w:r>
        <w:rPr>
          <w:rFonts w:ascii="楷体" w:hAnsi="楷体" w:eastAsia="楷体" w:cs="楷体"/>
          <w:color w:val="333333"/>
          <w:spacing w:val="1"/>
          <w:sz w:val="31"/>
          <w:szCs w:val="31"/>
        </w:rPr>
        <w:t>信息来源： 国家卫生健康委</w:t>
      </w:r>
    </w:p>
    <w:p>
      <w:pPr>
        <w:keepNext w:val="0"/>
        <w:keepLines w:val="0"/>
        <w:pageBreakBefore w:val="0"/>
        <w:widowControl w:val="0"/>
        <w:kinsoku w:val="0"/>
        <w:overflowPunct/>
        <w:topLinePunct w:val="0"/>
        <w:autoSpaceDE w:val="0"/>
        <w:autoSpaceDN w:val="0"/>
        <w:bidi w:val="0"/>
        <w:adjustRightInd w:val="0"/>
        <w:snapToGrid w:val="0"/>
        <w:spacing w:line="248" w:lineRule="auto"/>
        <w:textAlignment w:val="baseline"/>
        <w:rPr>
          <w:rFonts w:ascii="仿宋" w:hAnsi="仿宋" w:eastAsia="仿宋" w:cs="仿宋"/>
          <w:snapToGrid w:val="0"/>
          <w:color w:val="333333"/>
          <w:kern w:val="0"/>
          <w:sz w:val="31"/>
          <w:szCs w:val="31"/>
          <w:lang w:val="en-US" w:eastAsia="en-US" w:bidi="ar-SA"/>
        </w:rPr>
      </w:pPr>
    </w:p>
    <w:p>
      <w:pPr>
        <w:keepNext w:val="0"/>
        <w:keepLines w:val="0"/>
        <w:pageBreakBefore w:val="0"/>
        <w:widowControl w:val="0"/>
        <w:kinsoku w:val="0"/>
        <w:overflowPunct/>
        <w:topLinePunct w:val="0"/>
        <w:autoSpaceDE w:val="0"/>
        <w:autoSpaceDN w:val="0"/>
        <w:bidi w:val="0"/>
        <w:adjustRightInd w:val="0"/>
        <w:snapToGrid w:val="0"/>
        <w:spacing w:line="248" w:lineRule="auto"/>
        <w:textAlignment w:val="baseline"/>
        <w:rPr>
          <w:rFonts w:ascii="仿宋" w:hAnsi="仿宋" w:eastAsia="仿宋" w:cs="仿宋"/>
          <w:snapToGrid w:val="0"/>
          <w:color w:val="333333"/>
          <w:kern w:val="0"/>
          <w:sz w:val="31"/>
          <w:szCs w:val="31"/>
          <w:lang w:val="en-US" w:eastAsia="en-US" w:bidi="ar-SA"/>
        </w:rPr>
      </w:pPr>
    </w:p>
    <w:p>
      <w:pPr>
        <w:pStyle w:val="2"/>
        <w:keepNext w:val="0"/>
        <w:keepLines w:val="0"/>
        <w:pageBreakBefore w:val="0"/>
        <w:widowControl w:val="0"/>
        <w:kinsoku w:val="0"/>
        <w:overflowPunct/>
        <w:topLinePunct w:val="0"/>
        <w:autoSpaceDE w:val="0"/>
        <w:autoSpaceDN w:val="0"/>
        <w:bidi w:val="0"/>
        <w:adjustRightInd w:val="0"/>
        <w:snapToGrid w:val="0"/>
        <w:spacing w:before="101" w:line="229" w:lineRule="auto"/>
        <w:jc w:val="center"/>
        <w:textAlignment w:val="baseline"/>
        <w:rPr>
          <w:rFonts w:ascii="仿宋" w:hAnsi="仿宋" w:eastAsia="仿宋" w:cs="仿宋"/>
          <w:snapToGrid w:val="0"/>
          <w:color w:val="333333"/>
          <w:kern w:val="0"/>
          <w:sz w:val="31"/>
          <w:szCs w:val="31"/>
          <w:lang w:val="en-US" w:eastAsia="en-US" w:bidi="ar-SA"/>
        </w:rPr>
      </w:pPr>
      <w:r>
        <w:rPr>
          <w:rFonts w:ascii="仿宋" w:hAnsi="仿宋" w:eastAsia="仿宋" w:cs="仿宋"/>
          <w:snapToGrid w:val="0"/>
          <w:color w:val="333333"/>
          <w:kern w:val="0"/>
          <w:sz w:val="31"/>
          <w:szCs w:val="31"/>
          <w:lang w:val="en-US" w:eastAsia="en-US" w:bidi="ar-SA"/>
        </w:rPr>
        <w:t>国卫办医政发〔2023〕13号</w:t>
      </w:r>
    </w:p>
    <w:p>
      <w:pPr>
        <w:keepNext w:val="0"/>
        <w:keepLines w:val="0"/>
        <w:pageBreakBefore w:val="0"/>
        <w:widowControl w:val="0"/>
        <w:kinsoku w:val="0"/>
        <w:overflowPunct/>
        <w:topLinePunct w:val="0"/>
        <w:autoSpaceDE w:val="0"/>
        <w:autoSpaceDN w:val="0"/>
        <w:bidi w:val="0"/>
        <w:adjustRightInd w:val="0"/>
        <w:snapToGrid w:val="0"/>
        <w:spacing w:line="307" w:lineRule="auto"/>
        <w:textAlignment w:val="baseline"/>
        <w:rPr>
          <w:rFonts w:ascii="Arial"/>
          <w:sz w:val="21"/>
        </w:rPr>
      </w:pPr>
    </w:p>
    <w:p>
      <w:pPr>
        <w:keepNext w:val="0"/>
        <w:keepLines w:val="0"/>
        <w:pageBreakBefore w:val="0"/>
        <w:widowControl w:val="0"/>
        <w:kinsoku w:val="0"/>
        <w:overflowPunct/>
        <w:topLinePunct w:val="0"/>
        <w:autoSpaceDE w:val="0"/>
        <w:autoSpaceDN w:val="0"/>
        <w:bidi w:val="0"/>
        <w:adjustRightInd w:val="0"/>
        <w:snapToGrid w:val="0"/>
        <w:spacing w:line="307" w:lineRule="auto"/>
        <w:textAlignment w:val="baseline"/>
        <w:rPr>
          <w:rFonts w:ascii="Arial"/>
          <w:sz w:val="21"/>
        </w:rPr>
      </w:pPr>
    </w:p>
    <w:p>
      <w:pPr>
        <w:pStyle w:val="2"/>
        <w:keepNext w:val="0"/>
        <w:keepLines w:val="0"/>
        <w:pageBreakBefore w:val="0"/>
        <w:widowControl w:val="0"/>
        <w:kinsoku w:val="0"/>
        <w:overflowPunct/>
        <w:topLinePunct w:val="0"/>
        <w:autoSpaceDE w:val="0"/>
        <w:autoSpaceDN w:val="0"/>
        <w:bidi w:val="0"/>
        <w:adjustRightInd w:val="0"/>
        <w:snapToGrid w:val="0"/>
        <w:spacing w:before="101" w:line="578" w:lineRule="exact"/>
        <w:textAlignment w:val="baseline"/>
      </w:pPr>
      <w:r>
        <w:rPr>
          <w:color w:val="333333"/>
          <w:position w:val="19"/>
        </w:rPr>
        <w:t>各省、</w:t>
      </w:r>
      <w:r>
        <w:rPr>
          <w:color w:val="333333"/>
          <w:spacing w:val="-70"/>
          <w:position w:val="19"/>
        </w:rPr>
        <w:t xml:space="preserve"> </w:t>
      </w:r>
      <w:r>
        <w:rPr>
          <w:color w:val="333333"/>
          <w:position w:val="19"/>
        </w:rPr>
        <w:t>自治区、直辖市及新疆生产建设兵团卫生健</w:t>
      </w:r>
      <w:r>
        <w:rPr>
          <w:color w:val="333333"/>
          <w:spacing w:val="-1"/>
          <w:position w:val="19"/>
        </w:rPr>
        <w:t>康委、</w:t>
      </w:r>
      <w:r>
        <w:rPr>
          <w:color w:val="333333"/>
          <w:spacing w:val="-92"/>
          <w:position w:val="19"/>
        </w:rPr>
        <w:t xml:space="preserve"> </w:t>
      </w:r>
      <w:r>
        <w:rPr>
          <w:color w:val="333333"/>
          <w:spacing w:val="-1"/>
          <w:position w:val="19"/>
        </w:rPr>
        <w:t>中医药</w:t>
      </w:r>
    </w:p>
    <w:p>
      <w:pPr>
        <w:pStyle w:val="2"/>
        <w:keepNext w:val="0"/>
        <w:keepLines w:val="0"/>
        <w:pageBreakBefore w:val="0"/>
        <w:widowControl w:val="0"/>
        <w:kinsoku w:val="0"/>
        <w:overflowPunct/>
        <w:topLinePunct w:val="0"/>
        <w:autoSpaceDE w:val="0"/>
        <w:autoSpaceDN w:val="0"/>
        <w:bidi w:val="0"/>
        <w:adjustRightInd w:val="0"/>
        <w:snapToGrid w:val="0"/>
        <w:spacing w:before="1" w:line="228" w:lineRule="auto"/>
        <w:textAlignment w:val="baseline"/>
        <w:rPr>
          <w:color w:val="333333"/>
          <w:spacing w:val="-9"/>
        </w:rPr>
      </w:pPr>
      <w:r>
        <w:rPr>
          <w:color w:val="333333"/>
          <w:spacing w:val="-9"/>
        </w:rPr>
        <w:t>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维护患者健康权益，保障患者安全，进一步提升医疗机构患者安全管理水平，按照《全面提升医疗质量行动计划（2023-2025年）》有关安排，我委组织制定了《患者安全专项行动方案（2023-2025年）》，现印发给你们。请认真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right"/>
        <w:textAlignment w:val="baseline"/>
        <w:rPr>
          <w:rFonts w:hint="eastAsia" w:ascii="仿宋" w:hAnsi="仿宋" w:eastAsia="仿宋" w:cs="仿宋"/>
          <w:i w:val="0"/>
          <w:iCs w:val="0"/>
          <w:caps w:val="0"/>
          <w:color w:val="333333"/>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right"/>
        <w:textAlignment w:val="baseline"/>
        <w:rPr>
          <w:rFonts w:hint="eastAsia" w:ascii="仿宋" w:hAnsi="仿宋" w:eastAsia="仿宋" w:cs="仿宋"/>
          <w:i w:val="0"/>
          <w:iCs w:val="0"/>
          <w:caps w:val="0"/>
          <w:color w:val="333333"/>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560" w:lineRule="exact"/>
        <w:ind w:left="0" w:right="0" w:firstLine="0"/>
        <w:jc w:val="right"/>
        <w:textAlignment w:val="baseline"/>
        <w:rPr>
          <w:rFonts w:hint="default"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国家卫生健康委办公厅</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2023年9月27日</w:t>
      </w:r>
      <w:r>
        <w:rPr>
          <w:rFonts w:hint="eastAsia" w:ascii="仿宋" w:hAnsi="仿宋" w:eastAsia="仿宋" w:cs="仿宋"/>
          <w:i w:val="0"/>
          <w:iCs w:val="0"/>
          <w:caps w:val="0"/>
          <w:color w:val="333333"/>
          <w:spacing w:val="0"/>
          <w:sz w:val="32"/>
          <w:szCs w:val="32"/>
          <w:shd w:val="clear" w:fill="FFFFFF"/>
          <w:lang w:val="en-US" w:eastAsia="zh-CN"/>
        </w:rPr>
        <w:t xml:space="preserve">   </w:t>
      </w:r>
    </w:p>
    <w:p>
      <w:pPr>
        <w:keepNext w:val="0"/>
        <w:keepLines w:val="0"/>
        <w:pageBreakBefore w:val="0"/>
        <w:widowControl w:val="0"/>
        <w:kinsoku w:val="0"/>
        <w:overflowPunct/>
        <w:topLinePunct w:val="0"/>
        <w:autoSpaceDE w:val="0"/>
        <w:autoSpaceDN w:val="0"/>
        <w:bidi w:val="0"/>
        <w:adjustRightInd w:val="0"/>
        <w:snapToGrid w:val="0"/>
        <w:textAlignment w:val="baseline"/>
        <w:rPr>
          <w:rStyle w:val="7"/>
          <w:rFonts w:hint="eastAsia" w:ascii="仿宋" w:hAnsi="仿宋" w:eastAsia="仿宋" w:cs="仿宋"/>
          <w:i w:val="0"/>
          <w:iCs w:val="0"/>
          <w:caps w:val="0"/>
          <w:color w:val="333333"/>
          <w:spacing w:val="0"/>
          <w:sz w:val="32"/>
          <w:szCs w:val="32"/>
          <w:shd w:val="clear" w:fill="FFFFFF"/>
        </w:rPr>
      </w:pPr>
      <w:r>
        <w:rPr>
          <w:rStyle w:val="7"/>
          <w:rFonts w:hint="eastAsia" w:ascii="仿宋" w:hAnsi="仿宋" w:eastAsia="仿宋" w:cs="仿宋"/>
          <w:i w:val="0"/>
          <w:iCs w:val="0"/>
          <w:caps w:val="0"/>
          <w:color w:val="333333"/>
          <w:spacing w:val="0"/>
          <w:sz w:val="32"/>
          <w:szCs w:val="32"/>
          <w:shd w:val="clear" w:fill="FFFFFF"/>
        </w:rPr>
        <w:br w:type="page"/>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both"/>
        <w:textAlignment w:val="baseline"/>
        <w:rPr>
          <w:rStyle w:val="7"/>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center"/>
        <w:textAlignment w:val="baseline"/>
        <w:rPr>
          <w:rStyle w:val="7"/>
          <w:rFonts w:hint="eastAsia" w:ascii="黑体" w:hAnsi="黑体" w:eastAsia="黑体" w:cs="黑体"/>
          <w:b w:val="0"/>
          <w:bCs/>
          <w:i w:val="0"/>
          <w:iCs w:val="0"/>
          <w:caps w:val="0"/>
          <w:color w:val="333333"/>
          <w:spacing w:val="0"/>
          <w:sz w:val="44"/>
          <w:szCs w:val="44"/>
          <w:shd w:val="clear" w:fill="FFFFFF"/>
        </w:rPr>
      </w:pPr>
      <w:r>
        <w:rPr>
          <w:rStyle w:val="7"/>
          <w:rFonts w:hint="eastAsia" w:ascii="黑体" w:hAnsi="黑体" w:eastAsia="黑体" w:cs="黑体"/>
          <w:b w:val="0"/>
          <w:bCs/>
          <w:i w:val="0"/>
          <w:iCs w:val="0"/>
          <w:caps w:val="0"/>
          <w:color w:val="333333"/>
          <w:spacing w:val="0"/>
          <w:sz w:val="44"/>
          <w:szCs w:val="44"/>
          <w:shd w:val="clear" w:fill="FFFFFF"/>
        </w:rPr>
        <w:t>患者安全专项行动方案（2023-2025年）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0"/>
        <w:jc w:val="center"/>
        <w:textAlignment w:val="baseline"/>
        <w:rPr>
          <w:rStyle w:val="7"/>
          <w:rFonts w:hint="eastAsia" w:ascii="方正小标宋简体" w:hAnsi="方正小标宋简体" w:eastAsia="方正小标宋简体" w:cs="方正小标宋简体"/>
          <w:i w:val="0"/>
          <w:iCs w:val="0"/>
          <w:caps w:val="0"/>
          <w:color w:val="333333"/>
          <w:spacing w:val="0"/>
          <w:sz w:val="44"/>
          <w:szCs w:val="44"/>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为维护患者健康权益，保障患者安全，进一步提升医疗机构患者安全管理水平，按照《全面提升医疗质量行动计划（2023-2025年）》有关安排，制定本方案。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43" w:firstLineChars="200"/>
        <w:jc w:val="both"/>
        <w:textAlignment w:val="baseline"/>
        <w:rPr>
          <w:rFonts w:hint="eastAsia" w:ascii="仿宋" w:hAnsi="仿宋" w:eastAsia="仿宋" w:cs="仿宋"/>
          <w:i w:val="0"/>
          <w:iCs w:val="0"/>
          <w:caps w:val="0"/>
          <w:color w:val="333333"/>
          <w:spacing w:val="0"/>
          <w:sz w:val="32"/>
          <w:szCs w:val="32"/>
        </w:rPr>
      </w:pPr>
      <w:r>
        <w:rPr>
          <w:rStyle w:val="7"/>
          <w:rFonts w:hint="eastAsia" w:ascii="仿宋" w:hAnsi="仿宋" w:eastAsia="仿宋" w:cs="仿宋"/>
          <w:i w:val="0"/>
          <w:iCs w:val="0"/>
          <w:caps w:val="0"/>
          <w:color w:val="333333"/>
          <w:spacing w:val="0"/>
          <w:sz w:val="32"/>
          <w:szCs w:val="32"/>
          <w:shd w:val="clear" w:fill="FFFFFF"/>
        </w:rPr>
        <w:t>一、行动目标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利用3年时间，进一步健全患者安全管理体系，完善制度建设，畅通工作机制，及时消除医疗过程中以及医院环境中的各类风险，尽可能减少患者在医院期间受到不必要的伤害，保障患者安全。连续3年每年至少完成1轮全院巡检排查和全院患者安全专项培训，至2025年末，患者安全管理水平进一步提升，每百出院人次主动报告不良事件年均大于2.5例次，低风险病种住院患者死亡率进一步降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333333"/>
          <w:spacing w:val="0"/>
          <w:sz w:val="32"/>
          <w:szCs w:val="32"/>
        </w:rPr>
      </w:pPr>
      <w:r>
        <w:rPr>
          <w:rStyle w:val="7"/>
          <w:rFonts w:hint="eastAsia" w:ascii="仿宋" w:hAnsi="仿宋" w:eastAsia="仿宋" w:cs="仿宋"/>
          <w:i w:val="0"/>
          <w:iCs w:val="0"/>
          <w:caps w:val="0"/>
          <w:color w:val="333333"/>
          <w:spacing w:val="0"/>
          <w:sz w:val="32"/>
          <w:szCs w:val="32"/>
          <w:shd w:val="clear" w:fill="FFFFFF"/>
        </w:rPr>
        <w:t>二、行动范围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全国二级以上医疗机构。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333333"/>
          <w:spacing w:val="0"/>
          <w:sz w:val="32"/>
          <w:szCs w:val="32"/>
        </w:rPr>
      </w:pPr>
      <w:r>
        <w:rPr>
          <w:rStyle w:val="7"/>
          <w:rFonts w:hint="eastAsia" w:ascii="仿宋" w:hAnsi="仿宋" w:eastAsia="仿宋" w:cs="仿宋"/>
          <w:i w:val="0"/>
          <w:iCs w:val="0"/>
          <w:caps w:val="0"/>
          <w:color w:val="333333"/>
          <w:spacing w:val="0"/>
          <w:sz w:val="32"/>
          <w:szCs w:val="32"/>
          <w:shd w:val="clear" w:fill="FFFFFF"/>
        </w:rPr>
        <w:t>三、行动内容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（一）确保医疗服务要素安全。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加强药品耗材安全管理。加强药品耗材采购、储存、调配、使用全程管理，对高警示药品及易混淆药品，分别存放并设置警示标识，确保药品耗材存储环境符合要求并处于有效期内，及时清理过期药品耗材。特别是对机构内制剂、高警示药物、毒麻精放等重点药物类别加大管理力度。严格防止假冒伪劣、过期药品耗材流入临床，严禁重复使用一次性耗材，加强患者自带、外购药品使用管理。对可重复使用的耗材，加强洗消、检测管理，及时清除超使用寿命、性能不达标的耗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排查医疗设备设施安全隐患。对本机构使用的医疗设备设施进行全面排查，重点关注相关设备设施定期保养检修情况、功能状态，特别是近期进行场地改造、设备设施更新换代、运行机制调整优化的领域要进行细致排查，对变更后的设备设施运行情况进行监测分析，及时发现异常情况并予以有效干预。对事关生命安全的重点领域进行事前审查、事后检测、定期巡检，防止出现因设备设施失检、失修导致的安全问题。同时，加强实验室强酸、强碱、腐蚀、有害、易燃、易爆品的管理，防止腐蚀、灼伤、中毒、水灾、火灾和爆炸等事件的发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规范医务人员管理。加强医务人员规范管理，明晰各个岗位职责，压实科主任、护士长、医疗团队负责人、值班人员等关键岗位人员的医疗安全责任。强化医务人员临床能力评估，严格按照有关要求对医务人员进行医疗技术、临床带教等授权管理，强化进修人员、规培人员、实习人员以及第三方外聘人员的管理，规范开展临床带教工作，做好风险把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（二）保障医疗服务过程安全。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强化检查检验安全管理。严格把握各类检查检验项目的适应症、禁忌症，重点关注无痛检查、内镜检查、有创检查、运动平板试验、磁共振、增强显像或造影等高风险、耗时长或有特殊要求的检查检验项目。在实施检查前，核验患者情况，确保患者已按要求做好准备；检查过程中，密切观察患者状态，及时发现并处理意外情况；检查完成后，根据患者实际情况，引导或护送患者返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5.严格诊疗行为安全管理。在各项诊疗服务过程中，严格把握禁忌证和适应证，严格执行查对制度，防止诊疗对象、部位、措施发生错误，重点关注孕产妇、儿童、老年人、精神或意识障碍患者等特殊人群的情况。积极开展用药全过程管理，确保给药的时间、途径、剂量等准确无误，防止发生药物使用禁忌、配伍禁忌、药物渗漏等情况，及时处理过敏、呕吐、疼痛等不良反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落实患者日常安全管理。严格落实医疗质量安全核心制度，加强住院患者评估观察，关注患者精神心理状态，及时发现患者病情变化并予以处理，防止患者坠床、跌倒、走失、自残、自杀或伤害其他人员。加强门（急）诊候诊患者管理，建立识别高危患者并予以优先接诊的措施。严格落实医院感染管理要求，规范实施深静脉血栓预防，减少院内感染、深静脉血栓栓塞等不良事件，对接受手术治疗、中心静脉插管、呼吸机辅助呼吸、长期卧床等高风险患者，实现全覆盖监测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7.提高急诊急救能力。按要求在院内重点区域/部门（部位）配置抢救车、除颤仪等急救药品和设备设施，保障相关药品、设备设施随时可用。加强对危急值的管理，保障各种急救绿色通道通畅，确保急危重症患者得到及时救治。鼓励有条件的医疗机构建设应急救治一键呼叫系统，组建相对固定的队伍负责心肺复苏、气管插管等应急处置。建立医疗安全应急响应机制，制定应对群死群伤、突发传染病等突发公共卫生事件的预案并加强演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8.保障诊疗信息安全。提高对信息安全的重视程度，按要求对医疗机构内部的信息系统采取信息安全等级保护措施，加强账号信息和权限管理，定期开展文档核验、漏洞扫描、渗透测试等多种形式的安全自查，防止数据泄露、毁损、丢失，严禁任何人擅自向他人或其他机构提供患者诊疗信息。同时，做好信息系统容灾备份，建立信息系统应急处置预案，并制定医院信息系统局部或全部瘫痪状况下临床运行处置预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（三）优化患者安全管理机制。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9.健全常态化管理体系。进一步建立健全患者安全管理相关组织架构，明确部门及其岗位职责，建立工作制度、完善工作流程并严格落实。将患者安全工作纳入院周会、质量安全月刊，督促指导各部门、各科室精准开展患者安全改进工作。探索建立长效数据动态监测平台，合理应用质量管理工具，开展回顾性分析、横断面监测、前瞻性预警，及时识别风险，及早干预，减少不良事件发生。同时，加强医院投诉管理，建立患者诉求快速响应机制，强化投诉信息闭环管理，实现“一个诉求解决一类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10.完善不良事件报告处理机制。按照医疗质量（安全）不良事件（以下简称不良事件）分类标准（附件2），向国家医疗质量安全不良事件报告与学习平台上报不良事件信息。加强强制上报类事件管理，倡导主动上报与积极处置并重的处理模式，形成非惩罚性报告机制和激励机制。鼓励医疗机构建立机构内部不良事件信息报告平台，重点关注医疗质量隐患问题或未造成严重不良后果的负性事件，对不良事件反映出的安全隐患开展重点整改，采取有针对性的措施预防不良事件的发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11.提升全员安全意识。围绕相关法律法规、医疗质量安全核心制度、年度国家医疗质量安全改进目标、质量管理工具等内容，建立患者安全培训课程。按年度制定医院患者安全管理培训计划，实施以提升患者安全为核心的全员教育培训，加强对非医务人员和第三方服务人员的培训，特别是加强对直接服务于患者的后勤人员、护理员的培训。通过院报、学习会、专栏/刊、信息平台等多种方式提升信息获取和知识传播的持续性，并在每年世界患者安全日前后组织开展患者安全集中宣传活动，不断提升全员安全意识与管理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12.构建良好患者安全文化。充分发挥文化建设在患者安全管理工作中的导向作用。将构建患者安全文化纳入医院发展建设总体目标，统筹规划，营造人人重视安全，人人落实安全，主动报告、有效沟通，从错误中学习的非惩罚性患者安全管理文化氛围，引导全员积极参与患者安全。积极开展覆盖患者诊疗全过程的健康教育，引导患者及家属参与患者安全管理，探索为患方提供不良事件上报途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333333"/>
          <w:spacing w:val="0"/>
          <w:sz w:val="32"/>
          <w:szCs w:val="32"/>
        </w:rPr>
      </w:pPr>
      <w:r>
        <w:rPr>
          <w:rStyle w:val="7"/>
          <w:rFonts w:hint="eastAsia" w:ascii="仿宋" w:hAnsi="仿宋" w:eastAsia="仿宋" w:cs="仿宋"/>
          <w:i w:val="0"/>
          <w:iCs w:val="0"/>
          <w:caps w:val="0"/>
          <w:color w:val="333333"/>
          <w:spacing w:val="0"/>
          <w:sz w:val="32"/>
          <w:szCs w:val="32"/>
          <w:shd w:val="clear" w:fill="FFFFFF"/>
        </w:rPr>
        <w:t>四、行动步骤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（一）启动阶段（2023年9月）。国家卫生健康委制定印发专项行动方案，各省级卫生健康行政部门进行工作部署和宣贯动员。各医疗机构制定本单位具体工作措施，并启动行动。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实施阶段（2023年10月-2025年9月）。各医疗机构结合实际情况开展患者安全改进工作，按年度进行工作部署和工作总结，逐步健全和优化患者安全管理工作体系和机制，落实管理要求，消除患者安全隐患，实现患者安全持续改进。各省级卫生健康行政部门于每年10月30日前将本年度患者安全工作汇总表（附件3）报送我委医政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总结阶段（2025年10月-12月）。各省级卫生健康行政部门对患者安全提升专项工作进行全面总结评估，多渠道、多形式对工作成效和先进典型进行宣传，将工作中形成的具有推广价值的好经验、好做法转换为制度性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333333"/>
          <w:spacing w:val="0"/>
          <w:sz w:val="32"/>
          <w:szCs w:val="32"/>
        </w:rPr>
      </w:pPr>
      <w:r>
        <w:rPr>
          <w:rStyle w:val="7"/>
          <w:rFonts w:hint="eastAsia" w:ascii="仿宋" w:hAnsi="仿宋" w:eastAsia="仿宋" w:cs="仿宋"/>
          <w:i w:val="0"/>
          <w:iCs w:val="0"/>
          <w:caps w:val="0"/>
          <w:color w:val="333333"/>
          <w:spacing w:val="0"/>
          <w:sz w:val="32"/>
          <w:szCs w:val="32"/>
          <w:shd w:val="clear" w:fill="FFFFFF"/>
        </w:rPr>
        <w:t>五、工作要求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强化组织领导，推动工作落地。各级卫生健康行政部门充分发挥行业主管部门的统筹指导作用，强化目标导向，将保障患者安全作为全面提升医疗质量行动的重要内容一并推进。医疗机构要落实患者安全管理主体责任，将患者安全纳入医疗质量管理和医院管理制度体系，加强组织领导、明确责任人员、分解工作任务、定期开展自查自纠，聚焦重点部门、重点环节和重点领域，提高风险识别能力，主动报告患者安全风险隐患，对发现的隐患与问题逐项研究，以问题为导向开展改进工作，将工作落到实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鼓励全员参与，实现多元共治。各级卫生健康行政部门和各医疗机构要进一步巩固患者安全意识和“以患者为中心”的服务理念，从多维度、多层面挖掘先进典型，充分宣传推广，营造良好氛围，充分调动医务人员与社会各界参与行动的积极性，努力构建“政府主导-医院主体-社会协同-患者参与”的患者安全多元共建共治新格局。鼓励行业组织定期组织区域或全国性患者安全经验交流，推广优秀患者安全管理模式、案例、工具及患者安全培训课件/视频，营造良好氛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三）持续改进提升，形成长效机制。各级卫生健康行政部门和各医疗机构按照“全员意识强化、全面系统优化、全程积极参与、落实预防为主、推进持续改进”的原则，运用系统管理方法，从顶层设计、管理制度、工作流程等方面积极总结先进经验，构建长效运行管理机制，形成预防、处置、反馈、分析、改进的闭环管理模式，并将工作中形成的好经验、好做法及时转化为政策要求，为医疗安全持续改进工作奠定更为坚实的基础</w:t>
      </w:r>
      <w:r>
        <w:rPr>
          <w:rFonts w:hint="eastAsia" w:ascii="仿宋" w:hAnsi="仿宋" w:eastAsia="仿宋" w:cs="仿宋"/>
          <w:i w:val="0"/>
          <w:iCs w:val="0"/>
          <w:caps w:val="0"/>
          <w:color w:val="333333"/>
          <w:spacing w:val="0"/>
          <w:sz w:val="32"/>
          <w:szCs w:val="32"/>
          <w:shd w:val="clear" w:fill="FFFFFF"/>
          <w:lang w:eastAsia="zh-CN"/>
        </w:rPr>
        <w:t>。</w:t>
      </w:r>
    </w:p>
    <w:p>
      <w:pPr>
        <w:keepNext w:val="0"/>
        <w:keepLines w:val="0"/>
        <w:pageBreakBefore w:val="0"/>
        <w:widowControl w:val="0"/>
        <w:overflowPunct/>
        <w:topLinePunct w:val="0"/>
        <w:autoSpaceDE w:val="0"/>
        <w:autoSpaceDN w:val="0"/>
        <w:bidi w:val="0"/>
        <w:adjustRightInd w:val="0"/>
        <w:snapToGrid w:val="0"/>
        <w:textAlignment w:val="baseline"/>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br w:type="page"/>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right="0"/>
        <w:jc w:val="both"/>
        <w:textAlignment w:val="baseline"/>
        <w:rPr>
          <w:rFonts w:hint="eastAsia" w:eastAsia="宋体"/>
          <w:lang w:eastAsia="zh-CN"/>
        </w:rPr>
        <w:sectPr>
          <w:footerReference r:id="rId8" w:type="default"/>
          <w:pgSz w:w="11906" w:h="16839"/>
          <w:pgMar w:top="400" w:right="1417" w:bottom="1501" w:left="1551" w:header="0" w:footer="1222" w:gutter="0"/>
          <w:cols w:space="720" w:num="1"/>
        </w:sect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240" w:lineRule="auto"/>
        <w:ind w:right="0"/>
        <w:jc w:val="both"/>
        <w:textAlignment w:val="baseline"/>
        <w:rPr>
          <w:rFonts w:hint="eastAsia" w:eastAsia="宋体"/>
          <w:lang w:val="en-US" w:eastAsia="zh-CN"/>
        </w:rPr>
      </w:pPr>
      <w:r>
        <w:rPr>
          <w:rFonts w:hint="eastAsia" w:eastAsia="宋体"/>
          <w:lang w:eastAsia="zh-CN"/>
        </w:rPr>
        <w:drawing>
          <wp:inline distT="0" distB="0" distL="114300" distR="114300">
            <wp:extent cx="8655050" cy="4478655"/>
            <wp:effectExtent l="0" t="0" r="12700" b="17145"/>
            <wp:docPr id="4" name="图片 4" descr="微信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1"/>
                    <pic:cNvPicPr>
                      <a:picLocks noChangeAspect="1"/>
                    </pic:cNvPicPr>
                  </pic:nvPicPr>
                  <pic:blipFill>
                    <a:blip r:embed="rId10"/>
                    <a:stretch>
                      <a:fillRect/>
                    </a:stretch>
                  </pic:blipFill>
                  <pic:spPr>
                    <a:xfrm>
                      <a:off x="0" y="0"/>
                      <a:ext cx="8655050" cy="4478655"/>
                    </a:xfrm>
                    <a:prstGeom prst="rect">
                      <a:avLst/>
                    </a:prstGeom>
                  </pic:spPr>
                </pic:pic>
              </a:graphicData>
            </a:graphic>
          </wp:inline>
        </w:drawing>
      </w:r>
    </w:p>
    <w:p>
      <w:pPr>
        <w:keepNext w:val="0"/>
        <w:keepLines w:val="0"/>
        <w:pageBreakBefore w:val="0"/>
        <w:widowControl w:val="0"/>
        <w:overflowPunct/>
        <w:topLinePunct w:val="0"/>
        <w:autoSpaceDE w:val="0"/>
        <w:autoSpaceDN w:val="0"/>
        <w:bidi w:val="0"/>
        <w:adjustRightInd w:val="0"/>
        <w:snapToGrid w:val="0"/>
        <w:textAlignment w:val="baseline"/>
        <w:rPr>
          <w:rFonts w:hint="eastAsia" w:eastAsia="宋体"/>
          <w:lang w:eastAsia="zh-CN"/>
        </w:rPr>
        <w:sectPr>
          <w:pgSz w:w="16839" w:h="11906" w:orient="landscape"/>
          <w:pgMar w:top="420" w:right="400" w:bottom="283" w:left="1501" w:header="0" w:footer="1222" w:gutter="0"/>
          <w:cols w:space="720" w:num="1"/>
        </w:sectPr>
      </w:pPr>
      <w:r>
        <w:rPr>
          <w:rFonts w:hint="eastAsia" w:eastAsia="宋体"/>
          <w:lang w:val="en-US" w:eastAsia="zh-CN"/>
        </w:rPr>
        <w:t xml:space="preserve">     </w:t>
      </w:r>
      <w:r>
        <w:rPr>
          <w:rFonts w:hint="eastAsia" w:eastAsia="宋体"/>
          <w:lang w:eastAsia="zh-CN"/>
        </w:rPr>
        <w:drawing>
          <wp:inline distT="0" distB="0" distL="114300" distR="114300">
            <wp:extent cx="8341360" cy="1777365"/>
            <wp:effectExtent l="0" t="0" r="2540" b="13335"/>
            <wp:docPr id="5" name="图片 5" descr="微信图片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
                    <pic:cNvPicPr>
                      <a:picLocks noChangeAspect="1"/>
                    </pic:cNvPicPr>
                  </pic:nvPicPr>
                  <pic:blipFill>
                    <a:blip r:embed="rId11"/>
                    <a:srcRect l="967" r="1429" b="5864"/>
                    <a:stretch>
                      <a:fillRect/>
                    </a:stretch>
                  </pic:blipFill>
                  <pic:spPr>
                    <a:xfrm>
                      <a:off x="0" y="0"/>
                      <a:ext cx="8341360" cy="1777365"/>
                    </a:xfrm>
                    <a:prstGeom prst="rect">
                      <a:avLst/>
                    </a:prstGeom>
                  </pic:spPr>
                </pic:pic>
              </a:graphicData>
            </a:graphic>
          </wp:inline>
        </w:drawing>
      </w:r>
    </w:p>
    <w:p>
      <w:pPr>
        <w:keepNext w:val="0"/>
        <w:keepLines w:val="0"/>
        <w:pageBreakBefore w:val="0"/>
        <w:widowControl w:val="0"/>
        <w:overflowPunct/>
        <w:topLinePunct w:val="0"/>
        <w:autoSpaceDE w:val="0"/>
        <w:autoSpaceDN w:val="0"/>
        <w:bidi w:val="0"/>
        <w:adjustRightInd w:val="0"/>
        <w:snapToGrid w:val="0"/>
        <w:textAlignment w:val="baseline"/>
      </w:pPr>
    </w:p>
    <w:p>
      <w:pPr>
        <w:keepNext w:val="0"/>
        <w:keepLines w:val="0"/>
        <w:pageBreakBefore w:val="0"/>
        <w:widowControl w:val="0"/>
        <w:overflowPunct/>
        <w:topLinePunct w:val="0"/>
        <w:autoSpaceDE w:val="0"/>
        <w:autoSpaceDN w:val="0"/>
        <w:bidi w:val="0"/>
        <w:adjustRightInd w:val="0"/>
        <w:snapToGrid w:val="0"/>
        <w:textAlignment w:val="baseline"/>
      </w:pPr>
    </w:p>
    <w:p>
      <w:pPr>
        <w:keepNext w:val="0"/>
        <w:keepLines w:val="0"/>
        <w:pageBreakBefore w:val="0"/>
        <w:widowControl w:val="0"/>
        <w:overflowPunct/>
        <w:topLinePunct w:val="0"/>
        <w:autoSpaceDE w:val="0"/>
        <w:autoSpaceDN w:val="0"/>
        <w:bidi w:val="0"/>
        <w:adjustRightInd w:val="0"/>
        <w:snapToGrid w:val="0"/>
        <w:textAlignment w:val="baseline"/>
      </w:pPr>
      <w:r>
        <w:drawing>
          <wp:inline distT="0" distB="0" distL="114300" distR="114300">
            <wp:extent cx="6809105" cy="6565265"/>
            <wp:effectExtent l="0" t="0" r="10795"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6809105" cy="6565265"/>
                    </a:xfrm>
                    <a:prstGeom prst="rect">
                      <a:avLst/>
                    </a:prstGeom>
                    <a:noFill/>
                    <a:ln>
                      <a:noFill/>
                    </a:ln>
                  </pic:spPr>
                </pic:pic>
              </a:graphicData>
            </a:graphic>
          </wp:inline>
        </w:drawing>
      </w:r>
    </w:p>
    <w:p>
      <w:pPr>
        <w:keepNext w:val="0"/>
        <w:keepLines w:val="0"/>
        <w:pageBreakBefore w:val="0"/>
        <w:widowControl w:val="0"/>
        <w:overflowPunct/>
        <w:topLinePunct w:val="0"/>
        <w:autoSpaceDE w:val="0"/>
        <w:autoSpaceDN w:val="0"/>
        <w:bidi w:val="0"/>
        <w:adjustRightInd w:val="0"/>
        <w:snapToGrid w:val="0"/>
        <w:textAlignment w:val="baseline"/>
      </w:pPr>
      <w:r>
        <w:br w:type="page"/>
      </w:r>
    </w:p>
    <w:p>
      <w:pPr>
        <w:keepNext w:val="0"/>
        <w:keepLines w:val="0"/>
        <w:pageBreakBefore w:val="0"/>
        <w:widowControl w:val="0"/>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10"/>
          <w:sz w:val="44"/>
          <w:szCs w:val="44"/>
        </w:rPr>
        <w:sectPr>
          <w:pgSz w:w="11906" w:h="16839"/>
          <w:pgMar w:top="400" w:right="283" w:bottom="1501" w:left="420" w:header="0" w:footer="1222" w:gutter="0"/>
          <w:cols w:space="720" w:num="1"/>
        </w:sectPr>
      </w:pPr>
    </w:p>
    <w:p>
      <w:pPr>
        <w:keepNext w:val="0"/>
        <w:keepLines w:val="0"/>
        <w:pageBreakBefore w:val="0"/>
        <w:widowControl w:val="0"/>
        <w:kinsoku w:val="0"/>
        <w:overflowPunct/>
        <w:topLinePunct w:val="0"/>
        <w:autoSpaceDE w:val="0"/>
        <w:autoSpaceDN w:val="0"/>
        <w:bidi w:val="0"/>
        <w:adjustRightInd w:val="0"/>
        <w:snapToGrid w:val="0"/>
        <w:spacing w:before="113" w:line="227" w:lineRule="auto"/>
        <w:textAlignment w:val="baseline"/>
        <w:outlineLvl w:val="0"/>
        <w:rPr>
          <w:rFonts w:hint="eastAsia" w:ascii="黑体" w:hAnsi="黑体" w:eastAsia="黑体" w:cs="黑体"/>
          <w:spacing w:val="5"/>
          <w:sz w:val="36"/>
          <w:szCs w:val="36"/>
        </w:rPr>
      </w:pPr>
      <w:r>
        <w:rPr>
          <w:rFonts w:hint="eastAsia" w:ascii="黑体" w:hAnsi="黑体" w:eastAsia="黑体" w:cs="黑体"/>
          <w:spacing w:val="5"/>
          <w:sz w:val="36"/>
          <w:szCs w:val="36"/>
          <w:lang w:val="en-US" w:eastAsia="zh-CN"/>
        </w:rPr>
        <w:t>三、</w:t>
      </w:r>
      <w:r>
        <w:rPr>
          <w:rFonts w:hint="eastAsia" w:ascii="黑体" w:hAnsi="黑体" w:eastAsia="黑体" w:cs="黑体"/>
          <w:spacing w:val="5"/>
          <w:sz w:val="36"/>
          <w:szCs w:val="36"/>
        </w:rPr>
        <w:t>2023年江西省人民医院纠正医药购销领域和医疗服务中不正之风工作要点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2023年医院纠正医药购销领域和医疗服务中不正之风工作的总体要求是：以习近平新时代中国特色社会主义思想为指导，全面贯彻落实党的二十大精神，深入贯彻二十届中央纪委二次全会和国务院廉政工作会议精神，认真落实党中央、国务院和省委、省政府关于党风廉政工作的有关部署，按照学习贯彻习近平新时代中国特色社会主义思想主题教育要求和全省卫生健康系统全面从严治党工作会议精神，健全完善行风治理体系，重点整治医药领域突出腐败问题，为全面推进健康江西建设和医院高质量发展提供坚强保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一、健全完善新时代纠风工作体系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（一）强化纠风工作思想体系建设。</w:t>
      </w:r>
      <w:r>
        <w:rPr>
          <w:rFonts w:hint="eastAsia" w:ascii="仿宋" w:hAnsi="仿宋" w:eastAsia="仿宋" w:cs="仿宋"/>
          <w:sz w:val="32"/>
          <w:szCs w:val="32"/>
        </w:rPr>
        <w:t>坚决贯彻党的二十大关于坚定不移全面从严治党的战略部署，认真落实健全行风治理体系的任务要求，围绕加快卫生健康事业高质量发展的核心任务，聚焦“作示范、勇争先”目标要求，奋力打造“四区四高地”，统一思想认识，加强监督检查，确保纠风工作不偏向、不变通、不走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责任部门：党委办公室牵头，各职能部门按职责共同推进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（二）实化纠风工作惩防体系建设。</w:t>
      </w:r>
      <w:r>
        <w:rPr>
          <w:rFonts w:hint="eastAsia" w:ascii="仿宋" w:hAnsi="仿宋" w:eastAsia="仿宋" w:cs="仿宋"/>
          <w:sz w:val="32"/>
          <w:szCs w:val="32"/>
        </w:rPr>
        <w:t>畅通医药购销领域和医疗服务中不正之风问题的举报投诉渠道，做好线索的归集分送督办反馈。严格执行相关法律法规和政策规定，确保集采工作程序规范、公开透明、公平竞争，全程接受社会监督。开展“强化制度执行，狠抓工作落实”大督查，确保对人财物管理、医药购销和医疗服务等领域潜在廉政风险的内部监管制度落到实处。严格落实《江西省医疗机构不良执业行为记分管理办法（2022版）》、《江西省医务人员不良执业行为记分管理办法（2022版）》要求，加强行业监管，规范诊疗服务依法执业行为，切实维护人民群众健康权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责任部门：医德医风办牵头，纪检办公室、医务处、药学部、医学装备部等部门按职责共同推进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完成时限：12月底前完成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二、整治行业重点领域的不正之风问题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（三）整治行业管理中的不正之风问题。</w:t>
      </w:r>
      <w:r>
        <w:rPr>
          <w:rFonts w:hint="eastAsia" w:ascii="仿宋" w:hAnsi="仿宋" w:eastAsia="仿宋" w:cs="仿宋"/>
          <w:sz w:val="32"/>
          <w:szCs w:val="32"/>
        </w:rPr>
        <w:t>重点是招标采购、项目建设、过度医疗和人事管理等医院管理过程中的不正之风问题，尤其是泄露招投标价格、申报资料、技术数据等工作秘密。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责任部门：各职能部门按职责共同推进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（四）整治行业组织存在的不正之风问题。</w:t>
      </w:r>
      <w:r>
        <w:rPr>
          <w:rFonts w:hint="eastAsia" w:ascii="仿宋" w:hAnsi="仿宋" w:eastAsia="仿宋" w:cs="仿宋"/>
          <w:sz w:val="32"/>
          <w:szCs w:val="32"/>
        </w:rPr>
        <w:t>重点是各级各类行业组织或学（协）会在工作或推进业务主管部门委托事项过程中的不正之风问题，尤其是以“捐赠”、学术活动、举办或参加会议等名义变相摊派，为非法输送利益提供平台，违规接受捐赠资助等问题。督促建立医院学术会议审批流程，防范潜在廉政风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责任部门：医德医风办牵头，学科建设办公室等职能部门按职责共同推进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（五）整治医药产品采购中的不正之风问题。</w:t>
      </w:r>
      <w:r>
        <w:rPr>
          <w:rFonts w:hint="eastAsia" w:ascii="仿宋" w:hAnsi="仿宋" w:eastAsia="仿宋" w:cs="仿宋"/>
          <w:sz w:val="32"/>
          <w:szCs w:val="32"/>
        </w:rPr>
        <w:t>重点是医药产品销售过程中，各级各类医药生产经营企业及与之关联的经销商、医药代表，以各种名义或形式实施“带金销售"，给予医院从业人员回扣、假借各种形式输送利益等不正之风问题；以及在药品、医用耗材集中带量采购中，不履行采购合同，包括拒绝执行集采中选结果、对中选产品进院设置障碍、采购高价非中选产品或临床可替代产品、违规线下采购、药品医用耗材网采率不达标等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责任部门：医德医风办、药学部、医学装备部按职责分别负责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三、强化医保基金监督管理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（六）加强医保基金规范管理及使用。</w:t>
      </w:r>
      <w:r>
        <w:rPr>
          <w:rFonts w:hint="eastAsia" w:ascii="仿宋" w:hAnsi="仿宋" w:eastAsia="仿宋" w:cs="仿宋"/>
          <w:sz w:val="32"/>
          <w:szCs w:val="32"/>
        </w:rPr>
        <w:t>严厉打击各类欺诈骗保行为，切实维护医保基金安全。聚焦重点科室、重点领域、重点监控药品和医保结算费用排名靠前的药品耗材，规范医保基金管理使用。持续开展打击虚假就医、医保药品倒卖、串通虚开费用单据等欺诈骗保行为。落实做好打击欺诈骗保专项整治、“一地域一特色”专项治理、省市医保基金飞行检查等医保基金监管专项工作，精准防范医保基金“跑冒滴漏"，严厉整治恶性欺诈骗保。</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责任部门：医疗保障管理处牵头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（七）持续推进医药价格和招采信用评价。</w:t>
      </w:r>
      <w:r>
        <w:rPr>
          <w:rFonts w:hint="eastAsia" w:ascii="仿宋" w:hAnsi="仿宋" w:eastAsia="仿宋" w:cs="仿宋"/>
          <w:sz w:val="32"/>
          <w:szCs w:val="32"/>
        </w:rPr>
        <w:t>进一步加强与相关部门信息共享，根据司法机关以及行政部门认定的医药商业贿赂、垄断等案件事实，评定医药企业失信等级，采取信用风险警示、限制挂网等不同程度的处置约束措施，发挥医药集中采购市场的引导约束作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责任部门：药学部、医学装备部按职责分别负责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四、深入治理医疗领域乱象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（八）明确“九项准则"行业底线。</w:t>
      </w:r>
      <w:r>
        <w:rPr>
          <w:rFonts w:hint="eastAsia" w:ascii="仿宋" w:hAnsi="仿宋" w:eastAsia="仿宋" w:cs="仿宋"/>
          <w:sz w:val="32"/>
          <w:szCs w:val="32"/>
        </w:rPr>
        <w:t>严格落实《医疗机构工作人员廉洁从业九项准则》，治理利用紧缺医疗资源或检查、手术等诊疗安排损公肥私牟取个人利益，以及强推基因检测或院外购药等第三方服务、接受网上开药提成、违规直播带货获利、利用执业开单提成、违规转介患者、违规收集、使用、加工、传输、透露、买卖患者个人医疗信息等问题。将医务人员执行《医疗机构工作人员廉洁从业九项准则》情况纳入医德医风考评内容，作为个人提拔任用、职称晋升、评优评先的重要依据，确保《医疗机构工作人员廉洁从业九项准则》落地执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责任部门：医德医风办牵头，各职能部门按职责共同推进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（九）划清“红包”回扣问题红线。</w:t>
      </w:r>
      <w:r>
        <w:rPr>
          <w:rFonts w:hint="eastAsia" w:ascii="仿宋" w:hAnsi="仿宋" w:eastAsia="仿宋" w:cs="仿宋"/>
          <w:sz w:val="32"/>
          <w:szCs w:val="32"/>
        </w:rPr>
        <w:t>持续推进《江西省人民医院工作人员廉洁从业行动计划（2021—2024年）》，巩固阶段性成果,保持对“红包”、回扣行为的高压打击态势。扎实推进廉洁教育，引导医务人员见贤思齐，切实增强抵御行业不正之风的思想定力。重点关注临床使用的药品耗材价值高、诊疗资源相对紧张、高水平技术和介入侵入式操作应用多的科室以及院内招采管理等部门人员，利用执业便利或职业身份，假借学术活动名义，收受“红包”、回扣的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责任部门：医德医风办牵头，各职能部门按职责共同推进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（十）树牢违法违规行为惩治高压线。</w:t>
      </w:r>
      <w:r>
        <w:rPr>
          <w:rFonts w:hint="eastAsia" w:ascii="仿宋" w:hAnsi="仿宋" w:eastAsia="仿宋" w:cs="仿宋"/>
          <w:sz w:val="32"/>
          <w:szCs w:val="32"/>
        </w:rPr>
        <w:t>聚焦医疗美容、口腔、辅助生殖等重点领域，依法依规严厉打击虚假宣传、无证行医、非法使用相关药品医疗器械行为，整治查处医疗广告违法行为、违规开展诊疗服务，严格规范收费行为。加强人类辅助生殖技术的质量管理与评估，打击非法应用人类辅助生殖技术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责任部门：医务处、宣传外事处、财务处等按职责分别负责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rPr>
        <w:t>五、切实推进工作取得实效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（十一）落实纠风工作主体责任。</w:t>
      </w:r>
      <w:r>
        <w:rPr>
          <w:rFonts w:hint="eastAsia" w:ascii="仿宋" w:hAnsi="仿宋" w:eastAsia="仿宋" w:cs="仿宋"/>
          <w:sz w:val="32"/>
          <w:szCs w:val="32"/>
        </w:rPr>
        <w:t>坚持“管行业必须管行风”“谁主管谁负责”的工作原则。各处室要依据自身职责，切实承担纠风要点落实的部门主体责任，不仅要管好本处室的人，还要管好负责管理的临床医技科室。要压实部门负责同志作为纠风工作第一责任人的重大责任，对照纠风要点提出的重点工作领域，做好组织落实工作，对标对表建立台账，加强问效追责问责。及时将问题线索移交纪检部门，实现规纪法衔接，保证联合惩戒实效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责任部门：医德医风办牵头，各职能部门按职责共同推进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仿宋" w:hAnsi="仿宋" w:eastAsia="仿宋" w:cs="仿宋"/>
          <w:b/>
          <w:bCs/>
          <w:sz w:val="32"/>
          <w:szCs w:val="32"/>
        </w:rPr>
        <w:t>（十二）持续推进长效机制建设。</w:t>
      </w:r>
      <w:r>
        <w:rPr>
          <w:rFonts w:hint="eastAsia" w:ascii="仿宋" w:hAnsi="仿宋" w:eastAsia="仿宋" w:cs="仿宋"/>
          <w:sz w:val="32"/>
          <w:szCs w:val="32"/>
        </w:rPr>
        <w:t>提升处室间信息互联互通水平，打通部门间行业信用评价壁垒，不断探索完善联合惩戒制度。深化体制机制改革，构筑医院廉政长效机制。以党建引领行业文化建设，将“以案说法"等行业思想教育制度化、规范化，弘扬崇高职业精神和伟大抗疫精神，构筑风清气正行业环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责任部门：纪检办公室牵头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完成时限:持续推进</w:t>
      </w:r>
    </w:p>
    <w:p>
      <w:pPr>
        <w:rPr>
          <w:rFonts w:hint="eastAsia"/>
          <w:lang w:eastAsia="zh-CN"/>
        </w:rPr>
      </w:pPr>
      <w:r>
        <w:rPr>
          <w:rFonts w:hint="eastAsia"/>
          <w:lang w:eastAsia="zh-CN"/>
        </w:rPr>
        <w:br w:type="page"/>
      </w:r>
    </w:p>
    <w:p>
      <w:pPr>
        <w:keepNext w:val="0"/>
        <w:keepLines w:val="0"/>
        <w:pageBreakBefore w:val="0"/>
        <w:widowControl w:val="0"/>
        <w:kinsoku w:val="0"/>
        <w:overflowPunct/>
        <w:topLinePunct w:val="0"/>
        <w:autoSpaceDE w:val="0"/>
        <w:autoSpaceDN w:val="0"/>
        <w:bidi w:val="0"/>
        <w:adjustRightInd w:val="0"/>
        <w:snapToGrid w:val="0"/>
        <w:spacing w:before="113" w:line="227" w:lineRule="auto"/>
        <w:textAlignment w:val="baseline"/>
        <w:outlineLvl w:val="0"/>
        <w:rPr>
          <w:rFonts w:hint="eastAsia" w:ascii="黑体" w:hAnsi="黑体" w:eastAsia="黑体" w:cs="黑体"/>
          <w:spacing w:val="5"/>
          <w:sz w:val="36"/>
          <w:szCs w:val="36"/>
          <w:lang w:val="en-US" w:eastAsia="zh-CN"/>
        </w:rPr>
      </w:pPr>
      <w:r>
        <w:rPr>
          <w:rFonts w:hint="eastAsia" w:ascii="黑体" w:hAnsi="黑体" w:eastAsia="黑体" w:cs="黑体"/>
          <w:spacing w:val="5"/>
          <w:sz w:val="36"/>
          <w:szCs w:val="36"/>
          <w:lang w:val="en-US" w:eastAsia="zh-CN"/>
        </w:rPr>
        <w:t>四、江西省人民医院医德医风考评细则（2023版）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一、加分项目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1.担任处（科）室医德医风联络员，协助处（科）室做好医德医风学习、建设、考评等各项工作任务的，加3分。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以第一作者身份撰写关于医德医风和职业道德建设文章（包括好人好事、先进事迹、热情服务等，但不含政务性事务性的日常工作报道）并发表，每篇加1分。同一篇多次投稿的，不重复计分。单项计分累计不超过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3.开展经医院认定的诊疗新技术（新项目），主要负责人每项加1分。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收</w:t>
      </w:r>
      <w:r>
        <w:rPr>
          <w:rFonts w:hint="eastAsia" w:ascii="仿宋" w:hAnsi="仿宋" w:eastAsia="仿宋" w:cs="仿宋"/>
          <w:sz w:val="32"/>
          <w:szCs w:val="32"/>
          <w:highlight w:val="none"/>
        </w:rPr>
        <w:t>到</w:t>
      </w:r>
      <w:r>
        <w:rPr>
          <w:rFonts w:hint="eastAsia" w:ascii="仿宋" w:hAnsi="仿宋" w:eastAsia="仿宋" w:cs="仿宋"/>
          <w:sz w:val="32"/>
          <w:szCs w:val="32"/>
          <w:highlight w:val="none"/>
          <w:lang w:eastAsia="zh-CN"/>
        </w:rPr>
        <w:t>患者或</w:t>
      </w:r>
      <w:r>
        <w:rPr>
          <w:rFonts w:hint="eastAsia" w:ascii="仿宋" w:hAnsi="仿宋" w:eastAsia="仿宋" w:cs="仿宋"/>
          <w:sz w:val="32"/>
          <w:szCs w:val="32"/>
          <w:highlight w:val="none"/>
        </w:rPr>
        <w:t>家属</w:t>
      </w:r>
      <w:r>
        <w:rPr>
          <w:rFonts w:hint="eastAsia" w:ascii="仿宋" w:hAnsi="仿宋" w:eastAsia="仿宋" w:cs="仿宋"/>
          <w:sz w:val="32"/>
          <w:szCs w:val="32"/>
          <w:highlight w:val="none"/>
          <w:lang w:val="en-US" w:eastAsia="zh-CN"/>
        </w:rPr>
        <w:t>点名</w:t>
      </w:r>
      <w:r>
        <w:rPr>
          <w:rFonts w:hint="eastAsia" w:ascii="仿宋" w:hAnsi="仿宋" w:eastAsia="仿宋" w:cs="仿宋"/>
          <w:sz w:val="32"/>
          <w:szCs w:val="32"/>
          <w:highlight w:val="none"/>
        </w:rPr>
        <w:t>表扬（锦旗、感谢信</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被表扬人</w:t>
      </w:r>
      <w:r>
        <w:rPr>
          <w:rFonts w:hint="eastAsia" w:ascii="仿宋" w:hAnsi="仿宋" w:eastAsia="仿宋" w:cs="仿宋"/>
          <w:sz w:val="32"/>
          <w:szCs w:val="32"/>
          <w:highlight w:val="none"/>
        </w:rPr>
        <w:t>每次加0.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单项计分累计不超过3分。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5.拒收“红包”、回扣的，每次加0.5分。单项计分累计不超过3分。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u w:val="none"/>
          <w:lang w:val="en-US" w:eastAsia="zh-CN"/>
        </w:rPr>
        <w:t>临床科室（病区）</w:t>
      </w:r>
      <w:r>
        <w:rPr>
          <w:rFonts w:hint="eastAsia" w:ascii="仿宋" w:hAnsi="仿宋" w:eastAsia="仿宋" w:cs="仿宋"/>
          <w:sz w:val="32"/>
          <w:szCs w:val="32"/>
          <w:highlight w:val="none"/>
          <w:u w:val="none"/>
        </w:rPr>
        <w:t>满意度测评</w:t>
      </w:r>
      <w:r>
        <w:rPr>
          <w:rFonts w:hint="eastAsia" w:ascii="仿宋" w:hAnsi="仿宋" w:eastAsia="仿宋" w:cs="仿宋"/>
          <w:sz w:val="32"/>
          <w:szCs w:val="32"/>
          <w:highlight w:val="none"/>
          <w:u w:val="none"/>
          <w:lang w:val="en-US" w:eastAsia="zh-CN"/>
        </w:rPr>
        <w:t>前三名、医技科室</w:t>
      </w:r>
      <w:r>
        <w:rPr>
          <w:rFonts w:hint="eastAsia" w:ascii="仿宋" w:hAnsi="仿宋" w:eastAsia="仿宋" w:cs="仿宋"/>
          <w:sz w:val="32"/>
          <w:szCs w:val="32"/>
          <w:highlight w:val="none"/>
          <w:u w:val="none"/>
        </w:rPr>
        <w:t>满意度测评</w:t>
      </w:r>
      <w:r>
        <w:rPr>
          <w:rFonts w:hint="eastAsia" w:ascii="仿宋" w:hAnsi="仿宋" w:eastAsia="仿宋" w:cs="仿宋"/>
          <w:sz w:val="32"/>
          <w:szCs w:val="32"/>
          <w:highlight w:val="none"/>
          <w:u w:val="none"/>
          <w:lang w:val="en-US" w:eastAsia="zh-CN"/>
        </w:rPr>
        <w:t>排名第一</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lang w:eastAsia="zh-CN"/>
        </w:rPr>
        <w:t>科室（</w:t>
      </w:r>
      <w:r>
        <w:rPr>
          <w:rFonts w:hint="eastAsia" w:ascii="仿宋" w:hAnsi="仿宋" w:eastAsia="仿宋" w:cs="仿宋"/>
          <w:sz w:val="32"/>
          <w:szCs w:val="32"/>
          <w:highlight w:val="none"/>
          <w:lang w:val="en-US" w:eastAsia="zh-CN"/>
        </w:rPr>
        <w:t>病区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每人</w:t>
      </w:r>
      <w:r>
        <w:rPr>
          <w:rFonts w:hint="eastAsia" w:ascii="仿宋" w:hAnsi="仿宋" w:eastAsia="仿宋" w:cs="仿宋"/>
          <w:sz w:val="32"/>
          <w:szCs w:val="32"/>
          <w:highlight w:val="none"/>
          <w:lang w:eastAsia="zh-CN"/>
        </w:rPr>
        <w:t>每次</w:t>
      </w:r>
      <w:r>
        <w:rPr>
          <w:rFonts w:hint="eastAsia" w:ascii="仿宋" w:hAnsi="仿宋" w:eastAsia="仿宋" w:cs="仿宋"/>
          <w:sz w:val="32"/>
          <w:szCs w:val="32"/>
          <w:highlight w:val="none"/>
          <w:u w:val="none"/>
        </w:rPr>
        <w:t>加0.5分。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u w:val="none"/>
          <w:lang w:val="en-US" w:eastAsia="zh-CN"/>
        </w:rPr>
        <w:t>7.</w:t>
      </w:r>
      <w:r>
        <w:rPr>
          <w:rFonts w:hint="eastAsia" w:ascii="仿宋" w:hAnsi="仿宋" w:eastAsia="仿宋" w:cs="仿宋"/>
          <w:sz w:val="32"/>
          <w:szCs w:val="32"/>
          <w:highlight w:val="none"/>
        </w:rPr>
        <w:t>参加</w:t>
      </w:r>
      <w:r>
        <w:rPr>
          <w:rFonts w:hint="eastAsia" w:ascii="仿宋" w:hAnsi="仿宋" w:eastAsia="仿宋" w:cs="仿宋"/>
          <w:sz w:val="32"/>
          <w:szCs w:val="32"/>
          <w:highlight w:val="none"/>
          <w:lang w:val="en-US" w:eastAsia="zh-CN"/>
        </w:rPr>
        <w:t>医院组织的</w:t>
      </w:r>
      <w:r>
        <w:rPr>
          <w:rFonts w:hint="eastAsia" w:ascii="仿宋" w:hAnsi="仿宋" w:eastAsia="仿宋" w:cs="仿宋"/>
          <w:sz w:val="32"/>
          <w:szCs w:val="32"/>
          <w:highlight w:val="none"/>
        </w:rPr>
        <w:t>无偿献血、</w:t>
      </w:r>
      <w:r>
        <w:rPr>
          <w:rFonts w:hint="eastAsia" w:ascii="仿宋" w:hAnsi="仿宋" w:eastAsia="仿宋" w:cs="仿宋"/>
          <w:sz w:val="32"/>
          <w:szCs w:val="32"/>
          <w:highlight w:val="none"/>
          <w:lang w:val="en-US" w:eastAsia="zh-CN"/>
        </w:rPr>
        <w:t>医务社工与</w:t>
      </w:r>
      <w:r>
        <w:rPr>
          <w:rFonts w:hint="eastAsia" w:ascii="仿宋" w:hAnsi="仿宋" w:eastAsia="仿宋" w:cs="仿宋"/>
          <w:sz w:val="32"/>
          <w:szCs w:val="32"/>
          <w:highlight w:val="none"/>
        </w:rPr>
        <w:t>志愿</w:t>
      </w:r>
      <w:r>
        <w:rPr>
          <w:rFonts w:hint="eastAsia" w:ascii="仿宋" w:hAnsi="仿宋" w:eastAsia="仿宋" w:cs="仿宋"/>
          <w:sz w:val="32"/>
          <w:szCs w:val="32"/>
          <w:highlight w:val="none"/>
          <w:lang w:val="en-US" w:eastAsia="zh-CN"/>
        </w:rPr>
        <w:t>者活动</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爱心捐款、</w:t>
      </w:r>
      <w:r>
        <w:rPr>
          <w:rFonts w:hint="eastAsia" w:ascii="仿宋" w:hAnsi="仿宋" w:eastAsia="仿宋" w:cs="仿宋"/>
          <w:sz w:val="32"/>
          <w:szCs w:val="32"/>
          <w:highlight w:val="none"/>
          <w:lang w:eastAsia="zh-CN"/>
        </w:rPr>
        <w:t>义诊</w:t>
      </w:r>
      <w:r>
        <w:rPr>
          <w:rFonts w:hint="eastAsia" w:ascii="仿宋" w:hAnsi="仿宋" w:eastAsia="仿宋" w:cs="仿宋"/>
          <w:sz w:val="32"/>
          <w:szCs w:val="32"/>
          <w:highlight w:val="none"/>
        </w:rPr>
        <w:t>等公益活动，每次加0.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单项计分累计不超过2分。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参加援外、援疆</w:t>
      </w:r>
      <w:r>
        <w:rPr>
          <w:rFonts w:hint="eastAsia" w:ascii="仿宋" w:hAnsi="仿宋" w:eastAsia="仿宋" w:cs="仿宋"/>
          <w:sz w:val="32"/>
          <w:szCs w:val="32"/>
          <w:highlight w:val="none"/>
          <w:lang w:val="en-US" w:eastAsia="zh-CN"/>
        </w:rPr>
        <w:t>、突发公共卫生事件应急救援、</w:t>
      </w:r>
      <w:r>
        <w:rPr>
          <w:rFonts w:hint="eastAsia" w:ascii="仿宋" w:hAnsi="仿宋" w:eastAsia="仿宋" w:cs="仿宋"/>
          <w:sz w:val="32"/>
          <w:szCs w:val="32"/>
          <w:highlight w:val="none"/>
        </w:rPr>
        <w:t>对口帮扶</w:t>
      </w:r>
      <w:r>
        <w:rPr>
          <w:rFonts w:hint="eastAsia" w:ascii="仿宋" w:hAnsi="仿宋" w:eastAsia="仿宋" w:cs="仿宋"/>
          <w:sz w:val="32"/>
          <w:szCs w:val="32"/>
          <w:highlight w:val="none"/>
          <w:lang w:eastAsia="zh-CN"/>
        </w:rPr>
        <w:t>（含挂职）</w:t>
      </w:r>
      <w:r>
        <w:rPr>
          <w:rFonts w:hint="eastAsia" w:ascii="仿宋" w:hAnsi="仿宋" w:eastAsia="仿宋" w:cs="仿宋"/>
          <w:sz w:val="32"/>
          <w:szCs w:val="32"/>
          <w:highlight w:val="none"/>
          <w:lang w:val="en-US" w:eastAsia="zh-CN"/>
        </w:rPr>
        <w:t>等政府指令性活动</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加2分</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申请远程会诊</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lang w:eastAsia="zh-CN"/>
        </w:rPr>
        <w:t>作为专家参加远程会诊，每次加</w:t>
      </w:r>
      <w:r>
        <w:rPr>
          <w:rFonts w:hint="eastAsia" w:ascii="仿宋" w:hAnsi="仿宋" w:eastAsia="仿宋" w:cs="仿宋"/>
          <w:sz w:val="32"/>
          <w:szCs w:val="32"/>
          <w:highlight w:val="none"/>
          <w:lang w:val="en-US" w:eastAsia="zh-CN"/>
        </w:rPr>
        <w:t>0.5分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单项计分累计不超过1分。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lang w:eastAsia="zh-CN"/>
        </w:rPr>
        <w:t>参加多学科诊疗</w:t>
      </w:r>
      <w:r>
        <w:rPr>
          <w:rFonts w:hint="eastAsia" w:ascii="仿宋" w:hAnsi="仿宋" w:eastAsia="仿宋" w:cs="仿宋"/>
          <w:sz w:val="32"/>
          <w:szCs w:val="32"/>
          <w:highlight w:val="none"/>
          <w:lang w:val="en-US" w:eastAsia="zh-CN"/>
        </w:rPr>
        <w:t>MDT</w:t>
      </w:r>
      <w:r>
        <w:rPr>
          <w:rFonts w:hint="eastAsia" w:ascii="仿宋" w:hAnsi="仿宋" w:eastAsia="仿宋" w:cs="仿宋"/>
          <w:sz w:val="32"/>
          <w:szCs w:val="32"/>
          <w:highlight w:val="none"/>
          <w:lang w:eastAsia="zh-CN"/>
        </w:rPr>
        <w:t>（门诊、住院），每次加</w:t>
      </w:r>
      <w:r>
        <w:rPr>
          <w:rFonts w:hint="eastAsia" w:ascii="仿宋" w:hAnsi="仿宋" w:eastAsia="仿宋" w:cs="仿宋"/>
          <w:sz w:val="32"/>
          <w:szCs w:val="32"/>
          <w:highlight w:val="none"/>
          <w:lang w:val="en-US" w:eastAsia="zh-CN"/>
        </w:rPr>
        <w:t>0.5分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单项计分累计不超过1分。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见义勇为，维护</w:t>
      </w:r>
      <w:r>
        <w:rPr>
          <w:rFonts w:hint="eastAsia" w:ascii="仿宋" w:hAnsi="仿宋" w:eastAsia="仿宋" w:cs="仿宋"/>
          <w:sz w:val="32"/>
          <w:szCs w:val="32"/>
          <w:highlight w:val="none"/>
          <w:lang w:eastAsia="zh-CN"/>
        </w:rPr>
        <w:t>社会正义，</w:t>
      </w:r>
      <w:r>
        <w:rPr>
          <w:rFonts w:hint="eastAsia" w:ascii="仿宋" w:hAnsi="仿宋" w:eastAsia="仿宋" w:cs="仿宋"/>
          <w:sz w:val="32"/>
          <w:szCs w:val="32"/>
          <w:highlight w:val="none"/>
        </w:rPr>
        <w:t>勇于同不法行为作斗争，受到表扬的加2分。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w:t>
      </w:r>
      <w:r>
        <w:rPr>
          <w:rFonts w:hint="eastAsia" w:ascii="仿宋" w:hAnsi="仿宋" w:eastAsia="仿宋" w:cs="仿宋"/>
          <w:color w:val="000000"/>
          <w:kern w:val="2"/>
          <w:sz w:val="32"/>
          <w:szCs w:val="32"/>
          <w:highlight w:val="none"/>
          <w:lang w:val="en-US" w:eastAsia="zh-CN" w:bidi="ar"/>
        </w:rPr>
        <w:t>积极参加医院及上级部门组织的各种比赛、</w:t>
      </w:r>
      <w:r>
        <w:rPr>
          <w:rFonts w:hint="eastAsia" w:ascii="仿宋" w:hAnsi="仿宋" w:eastAsia="仿宋" w:cs="仿宋"/>
          <w:kern w:val="2"/>
          <w:sz w:val="32"/>
          <w:szCs w:val="32"/>
          <w:highlight w:val="none"/>
          <w:lang w:val="en-US" w:eastAsia="zh-CN" w:bidi="ar"/>
        </w:rPr>
        <w:t>竞赛和医德医风</w:t>
      </w:r>
      <w:r>
        <w:rPr>
          <w:rFonts w:hint="eastAsia" w:ascii="仿宋" w:hAnsi="仿宋" w:eastAsia="仿宋" w:cs="仿宋"/>
          <w:color w:val="000000"/>
          <w:kern w:val="2"/>
          <w:sz w:val="32"/>
          <w:szCs w:val="32"/>
          <w:highlight w:val="none"/>
          <w:lang w:val="en-US" w:eastAsia="zh-CN" w:bidi="ar"/>
        </w:rPr>
        <w:t>职业道德教育活动（如征文、演讲等），获得</w:t>
      </w:r>
      <w:r>
        <w:rPr>
          <w:rFonts w:hint="eastAsia" w:ascii="仿宋" w:hAnsi="仿宋" w:eastAsia="仿宋" w:cs="仿宋"/>
          <w:sz w:val="32"/>
          <w:szCs w:val="32"/>
          <w:highlight w:val="none"/>
        </w:rPr>
        <w:t>个人</w:t>
      </w:r>
      <w:r>
        <w:rPr>
          <w:rFonts w:hint="eastAsia" w:ascii="仿宋" w:hAnsi="仿宋" w:eastAsia="仿宋" w:cs="仿宋"/>
          <w:sz w:val="32"/>
          <w:szCs w:val="32"/>
          <w:highlight w:val="none"/>
          <w:lang w:val="en-US" w:eastAsia="zh-CN"/>
        </w:rPr>
        <w:t>一、二、三等奖的，</w:t>
      </w:r>
      <w:r>
        <w:rPr>
          <w:rFonts w:hint="eastAsia" w:ascii="仿宋" w:hAnsi="仿宋" w:eastAsia="仿宋" w:cs="仿宋"/>
          <w:sz w:val="32"/>
          <w:szCs w:val="32"/>
          <w:highlight w:val="none"/>
        </w:rPr>
        <w:t>院级加1分，厅</w:t>
      </w:r>
      <w:r>
        <w:rPr>
          <w:rFonts w:hint="eastAsia" w:ascii="仿宋" w:hAnsi="仿宋" w:eastAsia="仿宋" w:cs="仿宋"/>
          <w:sz w:val="32"/>
          <w:szCs w:val="32"/>
          <w:highlight w:val="none"/>
          <w:lang w:val="en-US" w:eastAsia="zh-CN"/>
        </w:rPr>
        <w:t>局</w:t>
      </w:r>
      <w:r>
        <w:rPr>
          <w:rFonts w:hint="eastAsia" w:ascii="仿宋" w:hAnsi="仿宋" w:eastAsia="仿宋" w:cs="仿宋"/>
          <w:sz w:val="32"/>
          <w:szCs w:val="32"/>
          <w:highlight w:val="none"/>
        </w:rPr>
        <w:t>级加2分</w:t>
      </w:r>
      <w:r>
        <w:rPr>
          <w:rFonts w:hint="eastAsia" w:ascii="仿宋" w:hAnsi="仿宋" w:eastAsia="仿宋" w:cs="仿宋"/>
          <w:sz w:val="32"/>
          <w:szCs w:val="32"/>
          <w:highlight w:val="none"/>
          <w:lang w:val="en-US" w:eastAsia="zh-CN"/>
        </w:rPr>
        <w:t>，省部级及以上加5分，以表彰文件或奖励证书为准。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13.获得个人</w:t>
      </w:r>
      <w:r>
        <w:rPr>
          <w:rFonts w:hint="eastAsia" w:ascii="仿宋" w:hAnsi="仿宋" w:eastAsia="仿宋" w:cs="仿宋"/>
          <w:sz w:val="32"/>
          <w:szCs w:val="32"/>
          <w:highlight w:val="none"/>
          <w:lang w:eastAsia="zh-CN"/>
        </w:rPr>
        <w:t>荣誉的（</w:t>
      </w:r>
      <w:r>
        <w:rPr>
          <w:rFonts w:hint="eastAsia" w:ascii="仿宋" w:hAnsi="仿宋" w:eastAsia="仿宋" w:cs="仿宋"/>
          <w:sz w:val="32"/>
          <w:szCs w:val="32"/>
          <w:highlight w:val="none"/>
          <w:lang w:val="en-US" w:eastAsia="zh-CN"/>
        </w:rPr>
        <w:t>不含年度考核、党员评议等各种等次评议</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，院级加1分，厅</w:t>
      </w:r>
      <w:r>
        <w:rPr>
          <w:rFonts w:hint="eastAsia" w:ascii="仿宋" w:hAnsi="仿宋" w:eastAsia="仿宋" w:cs="仿宋"/>
          <w:sz w:val="32"/>
          <w:szCs w:val="32"/>
          <w:highlight w:val="none"/>
          <w:lang w:val="en-US" w:eastAsia="zh-CN"/>
        </w:rPr>
        <w:t>局</w:t>
      </w:r>
      <w:r>
        <w:rPr>
          <w:rFonts w:hint="eastAsia" w:ascii="仿宋" w:hAnsi="仿宋" w:eastAsia="仿宋" w:cs="仿宋"/>
          <w:sz w:val="32"/>
          <w:szCs w:val="32"/>
          <w:highlight w:val="none"/>
        </w:rPr>
        <w:t>级加2分</w:t>
      </w:r>
      <w:r>
        <w:rPr>
          <w:rFonts w:hint="eastAsia" w:ascii="仿宋" w:hAnsi="仿宋" w:eastAsia="仿宋" w:cs="仿宋"/>
          <w:sz w:val="32"/>
          <w:szCs w:val="32"/>
          <w:highlight w:val="none"/>
          <w:lang w:val="en-US" w:eastAsia="zh-CN"/>
        </w:rPr>
        <w:t>，省部级及以上加5分，以荣誉证书为准</w:t>
      </w:r>
      <w:r>
        <w:rPr>
          <w:rFonts w:hint="eastAsia" w:ascii="仿宋" w:hAnsi="仿宋" w:eastAsia="仿宋" w:cs="仿宋"/>
          <w:kern w:val="2"/>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14.及时发现和上报医疗安全（不良）事件（仅限Ⅲ级事件和Ⅳ级事件），每次加0.5分。单项计分累计不超过2分。数据从医院不良事件报告系统调取。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15.检举他人在医德医风考评中弄虚作假，查证属实的，加2分。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16.处（科）室负责人对职工的日常表现进行综合评价，优秀加2分，其中优秀人数不超过本处（科）室总人数的15%。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rPr>
        <w:t>扣分</w:t>
      </w:r>
      <w:r>
        <w:rPr>
          <w:rFonts w:hint="eastAsia" w:ascii="楷体" w:hAnsi="楷体" w:eastAsia="楷体" w:cs="楷体"/>
          <w:b/>
          <w:bCs/>
          <w:sz w:val="32"/>
          <w:szCs w:val="32"/>
          <w:highlight w:val="none"/>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无故缺席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不参加医院</w:t>
      </w:r>
      <w:r>
        <w:rPr>
          <w:rFonts w:hint="eastAsia" w:ascii="仿宋" w:hAnsi="仿宋" w:eastAsia="仿宋" w:cs="仿宋"/>
          <w:sz w:val="32"/>
          <w:szCs w:val="32"/>
          <w:highlight w:val="none"/>
          <w:lang w:eastAsia="zh-CN"/>
        </w:rPr>
        <w:t>或</w:t>
      </w:r>
      <w:r>
        <w:rPr>
          <w:rFonts w:hint="eastAsia" w:ascii="仿宋" w:hAnsi="仿宋" w:eastAsia="仿宋" w:cs="仿宋"/>
          <w:sz w:val="32"/>
          <w:szCs w:val="32"/>
          <w:highlight w:val="none"/>
        </w:rPr>
        <w:t>科室组织的政治理论学习及其他各项</w:t>
      </w:r>
      <w:r>
        <w:rPr>
          <w:rFonts w:hint="eastAsia" w:ascii="仿宋" w:hAnsi="仿宋" w:eastAsia="仿宋" w:cs="仿宋"/>
          <w:sz w:val="32"/>
          <w:szCs w:val="32"/>
          <w:highlight w:val="none"/>
          <w:lang w:val="en-US" w:eastAsia="zh-CN"/>
        </w:rPr>
        <w:t>学习</w:t>
      </w:r>
      <w:r>
        <w:rPr>
          <w:rFonts w:hint="eastAsia" w:ascii="仿宋" w:hAnsi="仿宋" w:eastAsia="仿宋" w:cs="仿宋"/>
          <w:sz w:val="32"/>
          <w:szCs w:val="32"/>
          <w:highlight w:val="none"/>
        </w:rPr>
        <w:t>教育活动</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，每次扣1分</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迟到、早退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擅自离岗</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每次扣0.5分；旷工每次扣2分。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不按时完成工作任务或不服从科室工作安排的，每次扣1分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不服从医院工作安排的，每次扣2分。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着装不</w:t>
      </w:r>
      <w:r>
        <w:rPr>
          <w:rFonts w:hint="eastAsia" w:ascii="仿宋" w:hAnsi="仿宋" w:eastAsia="仿宋" w:cs="仿宋"/>
          <w:sz w:val="32"/>
          <w:szCs w:val="32"/>
          <w:highlight w:val="none"/>
          <w:lang w:val="en-US" w:eastAsia="zh-CN"/>
        </w:rPr>
        <w:t>规范</w:t>
      </w:r>
      <w:r>
        <w:rPr>
          <w:rFonts w:hint="eastAsia" w:ascii="仿宋" w:hAnsi="仿宋" w:eastAsia="仿宋" w:cs="仿宋"/>
          <w:sz w:val="32"/>
          <w:szCs w:val="32"/>
          <w:highlight w:val="none"/>
        </w:rPr>
        <w:t>、不佩戴胸牌上岗、语言不文明的，每次扣0.5分。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不落实首诊负责制和首问负责制的，每次扣1分。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6.违反医院规章制度、诊疗护理常规，被通报或扣罚绩效的，</w:t>
      </w:r>
      <w:r>
        <w:rPr>
          <w:rFonts w:hint="eastAsia" w:ascii="仿宋" w:hAnsi="仿宋" w:eastAsia="仿宋" w:cs="仿宋"/>
          <w:sz w:val="32"/>
          <w:szCs w:val="32"/>
          <w:highlight w:val="none"/>
        </w:rPr>
        <w:t>每次扣</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泄露患者隐私或医学秘密</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造成</w:t>
      </w:r>
      <w:r>
        <w:rPr>
          <w:rFonts w:hint="eastAsia" w:ascii="仿宋" w:hAnsi="仿宋" w:eastAsia="仿宋" w:cs="仿宋"/>
          <w:sz w:val="32"/>
          <w:szCs w:val="32"/>
          <w:highlight w:val="none"/>
          <w:lang w:eastAsia="zh-CN"/>
        </w:rPr>
        <w:t>严重后果</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每次扣</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8.违反规定外送样本检测、外购药品（器械）的，每次扣2分。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9.违反规定私自接待医药代表的，每次扣2分。</w:t>
      </w:r>
      <w:r>
        <w:rPr>
          <w:rFonts w:hint="eastAsia" w:ascii="仿宋" w:hAnsi="仿宋" w:eastAsia="仿宋" w:cs="仿宋"/>
          <w:sz w:val="32"/>
          <w:szCs w:val="32"/>
          <w:highlight w:val="none"/>
        </w:rPr>
        <w:t>违反规定接受药品、器械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耗材、试剂</w:t>
      </w:r>
      <w:r>
        <w:rPr>
          <w:rFonts w:hint="eastAsia" w:ascii="仿宋" w:hAnsi="仿宋" w:eastAsia="仿宋" w:cs="仿宋"/>
          <w:sz w:val="32"/>
          <w:szCs w:val="32"/>
          <w:highlight w:val="none"/>
          <w:lang w:eastAsia="zh-CN"/>
        </w:rPr>
        <w:t>）、软件、工程</w:t>
      </w:r>
      <w:r>
        <w:rPr>
          <w:rFonts w:hint="eastAsia" w:ascii="仿宋" w:hAnsi="仿宋" w:eastAsia="仿宋" w:cs="仿宋"/>
          <w:sz w:val="32"/>
          <w:szCs w:val="32"/>
          <w:highlight w:val="none"/>
        </w:rPr>
        <w:t>等生产、销售企业或经销人员的资助参加学术活动等</w:t>
      </w:r>
      <w:r>
        <w:rPr>
          <w:rFonts w:hint="eastAsia" w:ascii="仿宋" w:hAnsi="仿宋" w:eastAsia="仿宋" w:cs="仿宋"/>
          <w:sz w:val="32"/>
          <w:szCs w:val="32"/>
          <w:highlight w:val="none"/>
          <w:lang w:val="en-US" w:eastAsia="zh-CN"/>
        </w:rPr>
        <w:t>每次扣2分。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10.个人有效</w:t>
      </w:r>
      <w:r>
        <w:rPr>
          <w:rFonts w:hint="eastAsia" w:ascii="仿宋" w:hAnsi="仿宋" w:eastAsia="仿宋" w:cs="仿宋"/>
          <w:sz w:val="32"/>
          <w:szCs w:val="32"/>
          <w:highlight w:val="none"/>
        </w:rPr>
        <w:t>投诉</w:t>
      </w:r>
      <w:r>
        <w:rPr>
          <w:rFonts w:hint="eastAsia" w:ascii="仿宋" w:hAnsi="仿宋" w:eastAsia="仿宋" w:cs="仿宋"/>
          <w:sz w:val="32"/>
          <w:szCs w:val="32"/>
          <w:highlight w:val="none"/>
          <w:lang w:eastAsia="zh-CN"/>
        </w:rPr>
        <w:t>第一次</w:t>
      </w:r>
      <w:r>
        <w:rPr>
          <w:rFonts w:hint="eastAsia" w:ascii="仿宋" w:hAnsi="仿宋" w:eastAsia="仿宋" w:cs="仿宋"/>
          <w:sz w:val="32"/>
          <w:szCs w:val="32"/>
          <w:highlight w:val="none"/>
        </w:rPr>
        <w:t>扣</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、第二次扣</w:t>
      </w:r>
      <w:r>
        <w:rPr>
          <w:rFonts w:hint="eastAsia" w:ascii="仿宋" w:hAnsi="仿宋" w:eastAsia="仿宋" w:cs="仿宋"/>
          <w:sz w:val="32"/>
          <w:szCs w:val="32"/>
          <w:highlight w:val="none"/>
          <w:lang w:val="en-US" w:eastAsia="zh-CN"/>
        </w:rPr>
        <w:t>2分、第三次扣3分。有效投诉的个人年度内不得被评为“优秀”等次。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因医疗纠纷医疗损害</w:t>
      </w:r>
      <w:r>
        <w:rPr>
          <w:rFonts w:hint="eastAsia" w:ascii="仿宋" w:hAnsi="仿宋" w:eastAsia="仿宋" w:cs="仿宋"/>
          <w:color w:val="auto"/>
          <w:sz w:val="32"/>
          <w:szCs w:val="32"/>
          <w:highlight w:val="none"/>
          <w:lang w:val="en-US" w:eastAsia="zh-CN"/>
        </w:rPr>
        <w:t>责任被鉴定为</w:t>
      </w:r>
      <w:r>
        <w:rPr>
          <w:rFonts w:hint="eastAsia" w:ascii="仿宋" w:hAnsi="仿宋" w:eastAsia="仿宋" w:cs="仿宋"/>
          <w:color w:val="auto"/>
          <w:sz w:val="32"/>
          <w:szCs w:val="32"/>
          <w:highlight w:val="none"/>
        </w:rPr>
        <w:t>轻微责任的，</w:t>
      </w:r>
      <w:r>
        <w:rPr>
          <w:rFonts w:hint="eastAsia" w:ascii="仿宋" w:hAnsi="仿宋" w:eastAsia="仿宋" w:cs="仿宋"/>
          <w:color w:val="auto"/>
          <w:sz w:val="32"/>
          <w:szCs w:val="32"/>
          <w:highlight w:val="none"/>
          <w:lang w:eastAsia="zh-CN"/>
        </w:rPr>
        <w:t>每一起</w:t>
      </w:r>
      <w:r>
        <w:rPr>
          <w:rFonts w:hint="eastAsia" w:ascii="仿宋" w:hAnsi="仿宋" w:eastAsia="仿宋" w:cs="仿宋"/>
          <w:color w:val="auto"/>
          <w:sz w:val="32"/>
          <w:szCs w:val="32"/>
          <w:highlight w:val="none"/>
        </w:rPr>
        <w:t>扣</w:t>
      </w:r>
      <w:r>
        <w:rPr>
          <w:rFonts w:hint="eastAsia" w:ascii="仿宋" w:hAnsi="仿宋" w:eastAsia="仿宋" w:cs="仿宋"/>
          <w:color w:val="auto"/>
          <w:sz w:val="32"/>
          <w:szCs w:val="32"/>
          <w:highlight w:val="none"/>
          <w:lang w:eastAsia="zh-CN"/>
        </w:rPr>
        <w:t>责任人</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被鉴定为</w:t>
      </w:r>
      <w:r>
        <w:rPr>
          <w:rFonts w:hint="eastAsia" w:ascii="仿宋" w:hAnsi="仿宋" w:eastAsia="仿宋" w:cs="仿宋"/>
          <w:color w:val="auto"/>
          <w:sz w:val="32"/>
          <w:szCs w:val="32"/>
          <w:highlight w:val="none"/>
        </w:rPr>
        <w:t>次要责任的，</w:t>
      </w:r>
      <w:r>
        <w:rPr>
          <w:rFonts w:hint="eastAsia" w:ascii="仿宋" w:hAnsi="仿宋" w:eastAsia="仿宋" w:cs="仿宋"/>
          <w:color w:val="auto"/>
          <w:sz w:val="32"/>
          <w:szCs w:val="32"/>
          <w:highlight w:val="none"/>
          <w:lang w:eastAsia="zh-CN"/>
        </w:rPr>
        <w:t>每一起</w:t>
      </w:r>
      <w:r>
        <w:rPr>
          <w:rFonts w:hint="eastAsia" w:ascii="仿宋" w:hAnsi="仿宋" w:eastAsia="仿宋" w:cs="仿宋"/>
          <w:color w:val="auto"/>
          <w:sz w:val="32"/>
          <w:szCs w:val="32"/>
          <w:highlight w:val="none"/>
        </w:rPr>
        <w:t>扣</w:t>
      </w:r>
      <w:r>
        <w:rPr>
          <w:rFonts w:hint="eastAsia" w:ascii="仿宋" w:hAnsi="仿宋" w:eastAsia="仿宋" w:cs="仿宋"/>
          <w:color w:val="auto"/>
          <w:sz w:val="32"/>
          <w:szCs w:val="32"/>
          <w:highlight w:val="none"/>
          <w:lang w:eastAsia="zh-CN"/>
        </w:rPr>
        <w:t>责任人</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被鉴定为</w:t>
      </w:r>
      <w:r>
        <w:rPr>
          <w:rFonts w:hint="eastAsia" w:ascii="仿宋" w:hAnsi="仿宋" w:eastAsia="仿宋" w:cs="仿宋"/>
          <w:color w:val="auto"/>
          <w:sz w:val="32"/>
          <w:szCs w:val="32"/>
          <w:highlight w:val="none"/>
        </w:rPr>
        <w:t>同等责任的，</w:t>
      </w:r>
      <w:r>
        <w:rPr>
          <w:rFonts w:hint="eastAsia" w:ascii="仿宋" w:hAnsi="仿宋" w:eastAsia="仿宋" w:cs="仿宋"/>
          <w:color w:val="auto"/>
          <w:sz w:val="32"/>
          <w:szCs w:val="32"/>
          <w:highlight w:val="none"/>
          <w:lang w:eastAsia="zh-CN"/>
        </w:rPr>
        <w:t>每一起</w:t>
      </w:r>
      <w:r>
        <w:rPr>
          <w:rFonts w:hint="eastAsia" w:ascii="仿宋" w:hAnsi="仿宋" w:eastAsia="仿宋" w:cs="仿宋"/>
          <w:color w:val="auto"/>
          <w:sz w:val="32"/>
          <w:szCs w:val="32"/>
          <w:highlight w:val="none"/>
        </w:rPr>
        <w:t>扣</w:t>
      </w:r>
      <w:r>
        <w:rPr>
          <w:rFonts w:hint="eastAsia" w:ascii="仿宋" w:hAnsi="仿宋" w:eastAsia="仿宋" w:cs="仿宋"/>
          <w:color w:val="auto"/>
          <w:sz w:val="32"/>
          <w:szCs w:val="32"/>
          <w:highlight w:val="none"/>
          <w:lang w:eastAsia="zh-CN"/>
        </w:rPr>
        <w:t>责任人</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以鉴定结果时间为准。</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12.</w:t>
      </w:r>
      <w:r>
        <w:rPr>
          <w:rFonts w:ascii="仿宋" w:hAnsi="仿宋" w:eastAsia="仿宋" w:cs="仿宋"/>
          <w:color w:val="000000"/>
          <w:kern w:val="0"/>
          <w:sz w:val="32"/>
          <w:szCs w:val="32"/>
          <w:lang w:val="en-US" w:eastAsia="zh-CN" w:bidi="ar"/>
        </w:rPr>
        <w:t>一个记分周期内医务人员不良执业行为记分</w:t>
      </w:r>
      <w:r>
        <w:rPr>
          <w:rFonts w:hint="eastAsia" w:ascii="仿宋" w:hAnsi="仿宋" w:eastAsia="仿宋" w:cs="仿宋"/>
          <w:color w:val="000000"/>
          <w:kern w:val="0"/>
          <w:sz w:val="32"/>
          <w:szCs w:val="32"/>
          <w:lang w:val="en-US" w:eastAsia="zh-CN" w:bidi="ar"/>
        </w:rPr>
        <w:t>累计6以上的，扣5分。</w:t>
      </w:r>
    </w:p>
    <w:p>
      <w:pPr>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13.违反法律法规受到治安处罚的，每次扣10分。</w:t>
      </w:r>
    </w:p>
    <w:p>
      <w:pPr>
        <w:keepNext w:val="0"/>
        <w:keepLines w:val="0"/>
        <w:pageBreakBefore w:val="0"/>
        <w:widowControl/>
        <w:suppressLineNumbers w:val="0"/>
        <w:wordWrap/>
        <w:overflowPunct/>
        <w:topLinePunct w:val="0"/>
        <w:bidi w:val="0"/>
        <w:spacing w:line="560" w:lineRule="exact"/>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14.受到约谈或谈话提醒、责令检查、诫勉谈话的每次扣1分。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15.处（科）室负责人对职工的日常表现进行综合评价，不合格扣2分。</w:t>
      </w:r>
    </w:p>
    <w:p>
      <w:pPr>
        <w:keepNext w:val="0"/>
        <w:keepLines w:val="0"/>
        <w:pageBreakBefore w:val="0"/>
        <w:widowControl w:val="0"/>
        <w:overflowPunct/>
        <w:topLinePunct w:val="0"/>
        <w:autoSpaceDE w:val="0"/>
        <w:autoSpaceDN w:val="0"/>
        <w:bidi w:val="0"/>
        <w:adjustRightInd w:val="0"/>
        <w:snapToGrid w:val="0"/>
        <w:textAlignment w:val="baseline"/>
        <w:rPr>
          <w:rFonts w:hint="eastAsia"/>
          <w:lang w:eastAsia="zh-CN"/>
        </w:rPr>
      </w:pPr>
    </w:p>
    <w:sectPr>
      <w:pgSz w:w="11906" w:h="16839"/>
      <w:pgMar w:top="1440" w:right="1800" w:bottom="1440" w:left="1800" w:header="0" w:footer="12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99"/>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4"/>
        <w:w w:val="101"/>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080"/>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3OGY4ODYxYjZlN2ZhYjNlMDUyMjE1YjkwZThiNzUifQ=="/>
  </w:docVars>
  <w:rsids>
    <w:rsidRoot w:val="00000000"/>
    <w:rsid w:val="041046E2"/>
    <w:rsid w:val="07520C39"/>
    <w:rsid w:val="133F2AD6"/>
    <w:rsid w:val="13897791"/>
    <w:rsid w:val="13BB7B66"/>
    <w:rsid w:val="1BC420F8"/>
    <w:rsid w:val="1D3222D8"/>
    <w:rsid w:val="1E4C7F64"/>
    <w:rsid w:val="1F1F544D"/>
    <w:rsid w:val="2CB73169"/>
    <w:rsid w:val="32E93EF6"/>
    <w:rsid w:val="33812D79"/>
    <w:rsid w:val="35074437"/>
    <w:rsid w:val="3A3A77D2"/>
    <w:rsid w:val="433C7294"/>
    <w:rsid w:val="49A32653"/>
    <w:rsid w:val="4A857FAB"/>
    <w:rsid w:val="5E385608"/>
    <w:rsid w:val="7296444E"/>
    <w:rsid w:val="748F7A48"/>
    <w:rsid w:val="7C060205"/>
    <w:rsid w:val="7FCC6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2023-10-16T08:14:00Z</dcterms:created>
  <dc:creator>游常勇</dc:creator>
  <cp:lastModifiedBy>陈婷洁</cp:lastModifiedBy>
  <dcterms:modified xsi:type="dcterms:W3CDTF">2024-01-22T08:31:15Z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2023-10-16T08:16:22Z</vt:filetime>
  </property>
  <property fmtid="{D5CDD505-2E9C-101B-9397-08002B2CF9AE}" pid="4" name="KSOProductBuildVer">
    <vt:lpwstr>2052-12.1.0.16250</vt:lpwstr>
  </property>
  <property fmtid="{D5CDD505-2E9C-101B-9397-08002B2CF9AE}" pid="5" name="ICV">
    <vt:lpwstr>5024F6AFE64C45968BDFBDDE64A2FB0A_13</vt:lpwstr>
  </property>
</Properties>
</file>